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140A25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140A25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B4007">
        <w:rPr>
          <w:rFonts w:ascii="Sylfaen" w:hAnsi="Sylfaen" w:cs="Sylfaen"/>
          <w:szCs w:val="21"/>
          <w:shd w:val="clear" w:color="auto" w:fill="FFFFFF"/>
        </w:rPr>
        <w:t>30</w:t>
      </w:r>
      <w:r w:rsidR="00EB0EE9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B4007">
        <w:rPr>
          <w:rFonts w:ascii="Sylfaen" w:hAnsi="Sylfaen" w:cs="Sylfaen"/>
          <w:szCs w:val="21"/>
          <w:shd w:val="clear" w:color="auto" w:fill="FFFFFF"/>
          <w:lang w:val="ka-GE"/>
        </w:rPr>
        <w:t>აპრილის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22,</w:t>
      </w:r>
      <w:r w:rsidR="007B4007">
        <w:rPr>
          <w:rFonts w:ascii="Sylfaen" w:hAnsi="Sylfaen" w:cs="Sylfaen"/>
          <w:szCs w:val="21"/>
          <w:shd w:val="clear" w:color="auto" w:fill="FFFFFF"/>
          <w:lang w:val="ka-GE"/>
        </w:rPr>
        <w:t>056</w:t>
      </w:r>
      <w:r w:rsidR="00F1789E">
        <w:rPr>
          <w:rFonts w:ascii="Sylfaen" w:hAnsi="Sylfaen" w:cs="Sylfaen"/>
          <w:szCs w:val="21"/>
          <w:shd w:val="clear" w:color="auto" w:fill="FFFFFF"/>
        </w:rPr>
        <w:t>.0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>მათ შორის „სახელმწიფო ვალის შესახებ“ საქართველოს კანონით გათვალისწინებულ სახელმწიფო ვალ</w:t>
      </w:r>
      <w:r w:rsidR="00396821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396821">
        <w:rPr>
          <w:rFonts w:ascii="Sylfaen" w:hAnsi="Sylfaen"/>
          <w:szCs w:val="21"/>
          <w:shd w:val="clear" w:color="auto" w:fill="FFFFFF"/>
        </w:rPr>
        <w:t>22,</w:t>
      </w:r>
      <w:r w:rsidR="007B4007">
        <w:rPr>
          <w:rFonts w:ascii="Sylfaen" w:hAnsi="Sylfaen"/>
          <w:szCs w:val="21"/>
          <w:shd w:val="clear" w:color="auto" w:fill="FFFFFF"/>
          <w:lang w:val="ka-GE"/>
        </w:rPr>
        <w:t>051</w:t>
      </w:r>
      <w:r w:rsidR="00396821">
        <w:rPr>
          <w:rFonts w:ascii="Sylfaen" w:hAnsi="Sylfaen"/>
          <w:szCs w:val="21"/>
          <w:shd w:val="clear" w:color="auto" w:fill="FFFFFF"/>
        </w:rPr>
        <w:t>.6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96821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140A25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140A25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4.4</w:t>
      </w:r>
      <w:r w:rsidR="00914D8C" w:rsidRPr="00140A25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Pr="00140A25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>1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7</w:t>
      </w:r>
      <w:r w:rsidR="00396821">
        <w:rPr>
          <w:rFonts w:ascii="Sylfaen" w:hAnsi="Sylfaen"/>
          <w:szCs w:val="21"/>
          <w:shd w:val="clear" w:color="auto" w:fill="FFFFFF"/>
          <w:lang w:val="ka-GE"/>
        </w:rPr>
        <w:t>,</w:t>
      </w:r>
      <w:r w:rsidR="007B4007">
        <w:rPr>
          <w:rFonts w:ascii="Sylfaen" w:hAnsi="Sylfaen"/>
          <w:szCs w:val="21"/>
          <w:shd w:val="clear" w:color="auto" w:fill="FFFFFF"/>
          <w:lang w:val="ka-GE"/>
        </w:rPr>
        <w:t>435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7B4007">
        <w:rPr>
          <w:rFonts w:ascii="Sylfaen" w:hAnsi="Sylfaen"/>
          <w:szCs w:val="21"/>
          <w:shd w:val="clear" w:color="auto" w:fill="FFFFFF"/>
          <w:lang w:val="ka-GE"/>
        </w:rPr>
        <w:t>1</w:t>
      </w:r>
      <w:r w:rsidR="00784855" w:rsidRPr="00140A2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140A25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7B4007">
        <w:rPr>
          <w:rFonts w:ascii="Sylfaen" w:hAnsi="Sylfaen"/>
          <w:szCs w:val="21"/>
          <w:shd w:val="clear" w:color="auto" w:fill="FFFFFF"/>
          <w:lang w:val="ka-GE"/>
        </w:rPr>
        <w:t>79</w:t>
      </w:r>
      <w:r w:rsidR="006F4202" w:rsidRPr="00140A25">
        <w:rPr>
          <w:rFonts w:ascii="Sylfaen" w:hAnsi="Sylfaen"/>
          <w:szCs w:val="21"/>
          <w:shd w:val="clear" w:color="auto" w:fill="FFFFFF"/>
        </w:rPr>
        <w:t>%-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140A25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1</w:t>
      </w:r>
      <w:r w:rsidR="002A3C73" w:rsidRPr="00140A2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7B4007">
        <w:rPr>
          <w:rFonts w:ascii="Sylfaen" w:hAnsi="Sylfaen"/>
          <w:szCs w:val="21"/>
          <w:shd w:val="clear" w:color="auto" w:fill="FFFFFF"/>
          <w:lang w:val="ka-GE"/>
        </w:rPr>
        <w:t>4</w:t>
      </w:r>
      <w:r w:rsidR="00C126E1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/>
          <w:szCs w:val="21"/>
          <w:shd w:val="clear" w:color="auto" w:fill="FFFFFF"/>
        </w:rPr>
        <w:t>წელს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140A2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140A25">
        <w:rPr>
          <w:rFonts w:ascii="Sylfaen" w:hAnsi="Sylfaen"/>
          <w:szCs w:val="21"/>
          <w:shd w:val="clear" w:color="auto" w:fill="FFFFFF"/>
        </w:rPr>
        <w:t>.</w:t>
      </w:r>
      <w:r w:rsidR="007B4007">
        <w:rPr>
          <w:rFonts w:ascii="Sylfaen" w:hAnsi="Sylfaen"/>
          <w:szCs w:val="21"/>
          <w:shd w:val="clear" w:color="auto" w:fill="FFFFFF"/>
          <w:lang w:val="ka-GE"/>
        </w:rPr>
        <w:t>3</w:t>
      </w:r>
      <w:r w:rsidR="00C126E1" w:rsidRPr="00140A2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AB099E">
        <w:rPr>
          <w:rFonts w:ascii="Sylfaen" w:hAnsi="Sylfaen" w:cs="Sylfaen"/>
          <w:szCs w:val="21"/>
          <w:shd w:val="clear" w:color="auto" w:fill="FFFFFF"/>
          <w:lang w:val="ka-GE"/>
        </w:rPr>
        <w:t>87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42B2A" wp14:editId="7F18D374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15D9" w:rsidRPr="00A33B48" w:rsidRDefault="00DB15D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DB15D9" w:rsidRPr="00A33B48" w:rsidRDefault="00DB15D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1.87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DB15D9" w:rsidRPr="00A33B48" w:rsidRDefault="00DB15D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DB15D9" w:rsidRPr="00DE4001" w:rsidRDefault="00DB15D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DB15D9" w:rsidRPr="00A33B48" w:rsidRDefault="00DB15D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DB15D9" w:rsidRPr="00A33B48" w:rsidRDefault="00DB15D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1.87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DB15D9" w:rsidRPr="00A33B48" w:rsidRDefault="00DB15D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4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DB15D9" w:rsidRPr="00DE4001" w:rsidRDefault="00DB15D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27A09B2D" wp14:editId="576DCA6A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B4007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EB0EE9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B4007">
        <w:rPr>
          <w:rFonts w:ascii="Sylfaen" w:hAnsi="Sylfaen" w:cs="Sylfaen"/>
          <w:b/>
          <w:szCs w:val="18"/>
          <w:shd w:val="clear" w:color="auto" w:fill="FFFFFF"/>
          <w:lang w:val="ka-GE"/>
        </w:rPr>
        <w:t>აპრილის</w:t>
      </w:r>
      <w:r w:rsidR="00EB0EE9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:rsidR="00B57E95" w:rsidRPr="00140A2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40A2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20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B4007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B4007">
        <w:rPr>
          <w:rFonts w:ascii="Sylfaen" w:hAnsi="Sylfaen" w:cs="Sylfaen"/>
          <w:szCs w:val="21"/>
          <w:shd w:val="clear" w:color="auto" w:fill="FFFFFF"/>
          <w:lang w:val="ka-GE"/>
        </w:rPr>
        <w:t>აპრილის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54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050EF1" w:rsidRPr="00140A25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Pr="00140A25" w:rsidRDefault="00570C98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 </w:t>
      </w:r>
    </w:p>
    <w:p w:rsidR="00A93CD1" w:rsidRPr="00140A25" w:rsidRDefault="0098115B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 w:rsidRPr="00140A2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2540</wp:posOffset>
            </wp:positionV>
            <wp:extent cx="2247900" cy="169545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47C" w:rsidRPr="00140A2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2540</wp:posOffset>
            </wp:positionV>
            <wp:extent cx="2419350" cy="1552575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:rsidR="00071D1D" w:rsidRPr="00140A25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B71865" w:rsidRPr="00140A25">
        <w:rPr>
          <w:rFonts w:ascii="Sylfaen" w:hAnsi="Sylfaen"/>
          <w:b/>
        </w:rPr>
        <w:t>20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0A05E4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A05E4">
        <w:rPr>
          <w:rFonts w:ascii="Sylfaen" w:hAnsi="Sylfaen" w:cs="Sylfaen"/>
          <w:b/>
          <w:szCs w:val="18"/>
          <w:shd w:val="clear" w:color="auto" w:fill="FFFFFF"/>
          <w:lang w:val="ka-GE"/>
        </w:rPr>
        <w:t>აპრილის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:rsidR="009139F2" w:rsidRPr="00140A25" w:rsidRDefault="009139F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3284"/>
        <w:gridCol w:w="893"/>
        <w:gridCol w:w="1427"/>
        <w:gridCol w:w="1333"/>
        <w:gridCol w:w="1333"/>
        <w:gridCol w:w="1030"/>
        <w:gridCol w:w="1030"/>
      </w:tblGrid>
      <w:tr w:rsidR="00C40259" w:rsidRPr="00C40259" w:rsidTr="00A65964">
        <w:trPr>
          <w:trHeight w:hRule="exact" w:val="575"/>
          <w:tblHeader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9" w:rsidRPr="00A65964" w:rsidRDefault="00C40259" w:rsidP="00C402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ka-GE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="00A65964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ka-GE"/>
              </w:rPr>
              <w:t>(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="00A65964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ka-GE"/>
              </w:rPr>
              <w:t>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="00A65964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ka-GE"/>
              </w:rPr>
              <w:t>(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r w:rsidR="00A6596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ka-GE"/>
              </w:rPr>
              <w:t>)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30.04.2020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C40259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C40259" w:rsidRPr="00C40259" w:rsidTr="00A65964">
        <w:trPr>
          <w:trHeight w:hRule="exact" w:val="285"/>
        </w:trPr>
        <w:tc>
          <w:tcPr>
            <w:tcW w:w="4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259" w:rsidRPr="00C40259" w:rsidRDefault="00E7332D" w:rsidP="00E73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ka-GE"/>
              </w:rPr>
              <w:t>მთავრობის</w:t>
            </w:r>
            <w:r w:rsidR="00C40259" w:rsidRPr="00C40259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40259" w:rsidRPr="00C40259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 w:rsidR="00C40259" w:rsidRPr="00C40259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40259" w:rsidRPr="00C40259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259" w:rsidRPr="00C40259" w:rsidRDefault="00C40259" w:rsidP="00E7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5,443,021.61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259" w:rsidRPr="00C40259" w:rsidRDefault="00C40259" w:rsidP="00E7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17,435,087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259" w:rsidRPr="00C40259" w:rsidRDefault="00C40259" w:rsidP="00E7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259" w:rsidRPr="00C40259" w:rsidRDefault="00C40259" w:rsidP="00E7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E7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C40259" w:rsidRPr="00C40259" w:rsidTr="00F87859">
        <w:trPr>
          <w:trHeight w:hRule="exact" w:val="344"/>
        </w:trPr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3,901,835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12,498,358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>(WB - IDA)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677,216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2,169,259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0.093%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231,491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741,511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0.085%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9,046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28,975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48,382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154,976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C40259">
              <w:rPr>
                <w:rFonts w:ascii="Calibri" w:eastAsia="Times New Roman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0.66%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55,925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179,139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0.82%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>(WB - IBRD)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1,668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1.11%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391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0.88%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23,536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75,390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1.37%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29,784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95,405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1.42%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49,245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157,740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1.49%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29,337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93,973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1.72%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8,948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28,662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1.92%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6,876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22,024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167,625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536,935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0.066%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384,384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2.22%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0.049%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44,412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142,261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2.35%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148,828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476,725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2.55%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0.070%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133,278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426,916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2.58%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0.063%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26,401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84,566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2.79%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21,614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69,235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2.88%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სოფლის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მეურნეობის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17,858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57,201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11,464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36,722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3,951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12,657.08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2,606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0.99%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ევროგაერთიანება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10,848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34,748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14,102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45,172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16,272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52,122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638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128,198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410,643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0.71%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60,212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192,872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337,391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1,080,731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0.093%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36,091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115,607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230,209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737,407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0.085%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196,719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630,131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0.41%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45,833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146,813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1.04%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13,333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42,709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1.18%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40,998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131,325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1.44%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14,262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45,684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1.51%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26,364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84,450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1.79%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47,917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153,487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2.26%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0.020%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72,093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230,930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2.27%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0.030%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45,512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145,783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2.31%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37,857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121,264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2.47%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61,694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197,618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2.585%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0.029%</w:t>
            </w:r>
          </w:p>
        </w:tc>
      </w:tr>
      <w:tr w:rsidR="00C40259" w:rsidRPr="00C40259" w:rsidTr="00A65964">
        <w:trPr>
          <w:trHeight w:hRule="exact" w:val="528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ინფრასტრუქტურის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30,448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97,531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3.45%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0.019%</w:t>
            </w:r>
          </w:p>
        </w:tc>
      </w:tr>
      <w:tr w:rsidR="00C40259" w:rsidRPr="00C40259" w:rsidTr="00A65964">
        <w:trPr>
          <w:trHeight w:hRule="exact" w:val="564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ევროსაბჭოს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3,133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 + Variable Spread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0.31%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>(EIB)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21,696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69,496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9,060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29,020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21,696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69,496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10,848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34,748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24,565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78,688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21,696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69,496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1.937%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181,702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582,029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32,544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104,244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0.11%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16,272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52,122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0.14%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21,696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69,496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0.18%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81,359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260,610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0.22%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3,254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10,424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0.53%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12,206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39,099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0.56%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62,093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198,897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0.57%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10,091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32,324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0.62%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36,268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116,174</w:t>
            </w: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552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სკანდინავიური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გარემოსდაცვის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საფინანსო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კორპორაცია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(NEFCO)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784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2,512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F87859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ორმხრივი</w:t>
            </w:r>
            <w:r w:rsidRPr="00C402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კრედიტორები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1,039,559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3,329,915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18,202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58,305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6,291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20,150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676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12,105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38,776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ირანი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4,796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15,362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48,565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155,563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0.036%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6,771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21,690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315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288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12,228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39,167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CNY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2,716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გერმანია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(KfW)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1,460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4,675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517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0.08%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118,242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378,753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119,673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383,335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20,601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65,989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1,992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30,145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96,562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25,345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81,185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13,212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42,320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27,120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86,870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0.028%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9,863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31,593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27,668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88,625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142,473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456,371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1,366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4,377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26,489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84,849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19,525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62,542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837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2,680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7,791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24,957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393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444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1,423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აშშ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491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7,014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22,467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4,204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13,466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6,126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19,622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12,893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41,298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21,582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69,130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17,278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55,344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31,062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99,499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233,230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747,082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2,654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8,502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C40259" w:rsidRPr="00C40259" w:rsidTr="00F87859">
        <w:trPr>
          <w:trHeight w:hRule="exact" w:val="409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C402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1,601,600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C40259" w:rsidRPr="00C40259" w:rsidTr="00A65964">
        <w:trPr>
          <w:trHeight w:hRule="exact" w:val="286"/>
        </w:trPr>
        <w:tc>
          <w:tcPr>
            <w:tcW w:w="3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sz w:val="18"/>
                <w:szCs w:val="18"/>
              </w:rPr>
              <w:t>ევროობლიგაცია</w:t>
            </w:r>
            <w:r w:rsidRPr="00C40259">
              <w:rPr>
                <w:rFonts w:ascii="Calibri" w:eastAsia="Times New Roman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1,601,600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0.632%</w:t>
            </w:r>
          </w:p>
        </w:tc>
      </w:tr>
      <w:tr w:rsidR="00C40259" w:rsidRPr="00C40259" w:rsidTr="00F87859">
        <w:trPr>
          <w:trHeight w:hRule="exact" w:val="347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402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r w:rsidRPr="00C402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402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1,628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5,214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C40259" w:rsidRPr="00C40259" w:rsidTr="00A65964">
        <w:trPr>
          <w:trHeight w:hRule="exact" w:val="227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1,628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5,214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259" w:rsidRPr="00C40259" w:rsidRDefault="00C40259" w:rsidP="0001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C40259" w:rsidRPr="00C40259" w:rsidTr="00A65964">
        <w:trPr>
          <w:trHeight w:hRule="exact" w:val="482"/>
        </w:trPr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0259" w:rsidRPr="00C40259" w:rsidRDefault="00C40259" w:rsidP="00C402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025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40259" w:rsidRPr="00F878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878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საშუალო</w:t>
            </w:r>
            <w:r w:rsidRPr="00F878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F878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შეწონილი</w:t>
            </w:r>
            <w:r w:rsidRPr="00F878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F878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საპროცენტო</w:t>
            </w:r>
            <w:r w:rsidRPr="00F878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F8785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განაკვეთი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0259" w:rsidRPr="00F87859" w:rsidRDefault="00C40259" w:rsidP="00C4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878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1.87%</w:t>
            </w:r>
          </w:p>
        </w:tc>
      </w:tr>
    </w:tbl>
    <w:p w:rsidR="000A05E4" w:rsidRDefault="000A05E4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405DB" w:rsidRDefault="000A05E4" w:rsidP="000A05E4">
      <w:pPr>
        <w:pStyle w:val="Default"/>
        <w:ind w:firstLine="708"/>
        <w:jc w:val="both"/>
        <w:rPr>
          <w:sz w:val="22"/>
          <w:szCs w:val="22"/>
          <w:highlight w:val="yellow"/>
          <w:shd w:val="clear" w:color="auto" w:fill="FFFFFF"/>
          <w:lang w:val="ka-GE"/>
        </w:rPr>
      </w:pPr>
      <w:r w:rsidRPr="00B4458A">
        <w:rPr>
          <w:sz w:val="22"/>
          <w:szCs w:val="22"/>
          <w:shd w:val="clear" w:color="auto" w:fill="FFFFFF"/>
          <w:lang w:val="ka-GE"/>
        </w:rPr>
        <w:t xml:space="preserve">2020 წლის სახელმწიფო ბიუჯეტის ცვლილების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B4458A" w:rsidRPr="00B4458A">
        <w:rPr>
          <w:sz w:val="22"/>
          <w:szCs w:val="22"/>
          <w:shd w:val="clear" w:color="auto" w:fill="FFFFFF"/>
          <w:lang w:val="ka-GE"/>
        </w:rPr>
        <w:t>032</w:t>
      </w:r>
      <w:r w:rsidRPr="00B4458A">
        <w:rPr>
          <w:sz w:val="22"/>
          <w:szCs w:val="22"/>
          <w:shd w:val="clear" w:color="auto" w:fill="FFFFFF"/>
          <w:lang w:val="ka-GE"/>
        </w:rPr>
        <w:t xml:space="preserve"> </w:t>
      </w:r>
      <w:r w:rsidR="00B4458A" w:rsidRPr="00B4458A">
        <w:rPr>
          <w:sz w:val="22"/>
          <w:szCs w:val="22"/>
          <w:shd w:val="clear" w:color="auto" w:fill="FFFFFF"/>
          <w:lang w:val="ka-GE"/>
        </w:rPr>
        <w:t>57</w:t>
      </w:r>
      <w:r w:rsidRPr="00B4458A">
        <w:rPr>
          <w:sz w:val="22"/>
          <w:szCs w:val="22"/>
          <w:shd w:val="clear" w:color="auto" w:fill="FFFFFF"/>
          <w:lang w:val="ka-GE"/>
        </w:rPr>
        <w:t>0.</w:t>
      </w:r>
      <w:r w:rsidR="00B4458A" w:rsidRPr="00B4458A">
        <w:rPr>
          <w:sz w:val="22"/>
          <w:szCs w:val="22"/>
          <w:shd w:val="clear" w:color="auto" w:fill="FFFFFF"/>
          <w:lang w:val="ka-GE"/>
        </w:rPr>
        <w:t>5</w:t>
      </w:r>
      <w:r w:rsidRPr="00B4458A">
        <w:rPr>
          <w:sz w:val="22"/>
          <w:szCs w:val="22"/>
          <w:shd w:val="clear" w:color="auto" w:fill="FFFFFF"/>
          <w:lang w:val="ka-GE"/>
        </w:rPr>
        <w:t xml:space="preserve"> ათასი ლარის ოდენობით. </w:t>
      </w:r>
    </w:p>
    <w:p w:rsidR="00A405DB" w:rsidRPr="00A405DB" w:rsidRDefault="000A05E4" w:rsidP="00A405DB">
      <w:pPr>
        <w:pStyle w:val="Normal22"/>
        <w:ind w:firstLine="360"/>
        <w:jc w:val="both"/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  <w:lang w:val="ka-GE"/>
        </w:rPr>
      </w:pPr>
      <w:r w:rsidRPr="00A405DB"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</w:rPr>
        <w:t xml:space="preserve"> </w:t>
      </w:r>
      <w:r w:rsidR="00A405DB"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  <w:lang w:val="ka-GE"/>
        </w:rPr>
        <w:t>თანხების მობილიზებას: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lastRenderedPageBreak/>
        <w:t>სსე-ს კორპორატიზაციისა და ენერგობაზრის რეფორმის პროგრამის ფარგლებში აზიის განვითარების ბანკიდან (ADB) მისაღები სახსრები - 300 000.0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განვითარების პოლიტიკის ოპერაციის (DPO-2019) პროგრამის ფარგლებში მსოფლიო ბანკიდან (WB) მისაღები სახსრები - 15</w:t>
      </w:r>
      <w:r w:rsidRPr="00A405DB">
        <w:rPr>
          <w:rFonts w:ascii="Sylfaen" w:eastAsia="Sylfaen" w:hAnsi="Sylfaen" w:cs="Sylfaen"/>
          <w:i/>
          <w:color w:val="000000"/>
          <w:lang w:val="ka-GE"/>
        </w:rPr>
        <w:t>6</w:t>
      </w: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 </w:t>
      </w:r>
      <w:r w:rsidRPr="00A405DB">
        <w:rPr>
          <w:rFonts w:ascii="Sylfaen" w:eastAsia="Sylfaen" w:hAnsi="Sylfaen" w:cs="Sylfaen"/>
          <w:i/>
          <w:color w:val="000000"/>
          <w:lang w:val="ka-GE"/>
        </w:rPr>
        <w:t>1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00.0  ათასი ლარის ოდენობით;</w:t>
      </w:r>
    </w:p>
    <w:p w:rsidR="00A405DB" w:rsidRPr="00346D5B" w:rsidRDefault="00A405DB" w:rsidP="00A405DB">
      <w:pPr>
        <w:pStyle w:val="Normal25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ევროკავშირის მაკროფინანსური დახმარების (MFA) პროგრამის  ფარგლებში ევროკავშირიდან (EU) მისაღები სახსრები – 6</w:t>
      </w:r>
      <w:r w:rsidRPr="00A405DB">
        <w:rPr>
          <w:rFonts w:ascii="Sylfaen" w:eastAsia="Sylfaen" w:hAnsi="Sylfaen" w:cs="Sylfaen"/>
          <w:i/>
          <w:color w:val="000000"/>
          <w:lang w:val="ka-GE"/>
        </w:rPr>
        <w:t>6</w:t>
      </w: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 000.0 ათასი ლარის ოდენობით; 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საქართველოში ენერგეტიკის სექტორის რეფორმის პროგრამის ფარგლებში საფრანგეთის განვითარების სააგენტოდან (AFD) მისაღები სახსრები – </w:t>
      </w:r>
      <w:r w:rsidRPr="00A405DB">
        <w:rPr>
          <w:rFonts w:ascii="Sylfaen" w:eastAsia="Sylfaen" w:hAnsi="Sylfaen" w:cs="Sylfaen"/>
          <w:i/>
          <w:color w:val="000000"/>
          <w:lang w:val="ka-GE"/>
        </w:rPr>
        <w:t>390 000.0</w:t>
      </w: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 თასი ლარის ოდენობით; 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საქართველოში ენერგეტიკის სექტორის რეფორმის პროგრამის (პოლიტიკაზე დაფუძნებული სესხი-</w:t>
      </w:r>
      <w:r w:rsidRPr="00A405DB">
        <w:rPr>
          <w:rFonts w:ascii="Sylfaen" w:eastAsia="Sylfaen" w:hAnsi="Sylfaen" w:cs="Sylfaen"/>
          <w:i/>
          <w:color w:val="000000"/>
          <w:lang w:val="ka-GE"/>
        </w:rPr>
        <w:t xml:space="preserve">PBL 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II</w:t>
      </w:r>
      <w:r w:rsidRPr="00A405DB">
        <w:rPr>
          <w:rFonts w:ascii="Sylfaen" w:eastAsia="Sylfaen" w:hAnsi="Sylfaen" w:cs="Sylfaen"/>
          <w:i/>
          <w:color w:val="000000"/>
          <w:lang w:val="ka-GE"/>
        </w:rPr>
        <w:t xml:space="preserve">) 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ფარგლებში გერმანიის რეკონსტრუქციის საკრედიტო ბანკიდან (KfW) მისაღები სახსრები – 192 900.0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საქართველოში ენერგეტიკის სექტორის რეფორმის პროგრამის (პოლიტიკაზე დაფუძნებული სესხი-PBL III) ფარგლებში გერმანიის რეკონსტრუქციის საკრედიტო ბანკიდან (KfW) მისაღები სახსრები – 297 000.0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სოციალური კეთილდღეობის პროგრამა - ფაზა III -ის ფარგლებში</w:t>
      </w:r>
      <w:r w:rsidRPr="00346D5B">
        <w:rPr>
          <w:rFonts w:ascii="Sylfaen" w:hAnsi="Sylfaen"/>
          <w:lang w:val="ka-GE"/>
        </w:rPr>
        <w:t xml:space="preserve"> </w:t>
      </w: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საფრანგეთის განვითარების სააგენტოდან (AFD) მისაღები სახსრები – 225 000.0 ათასი ლარის ოდენობით; 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A405DB">
        <w:rPr>
          <w:rFonts w:ascii="Sylfaen" w:eastAsia="Sylfaen" w:hAnsi="Sylfaen" w:cs="Sylfaen"/>
          <w:i/>
          <w:color w:val="000000"/>
          <w:lang w:val="ka-GE"/>
        </w:rPr>
        <w:t>COVID-19-ზე საგანგებო რეაგირებისა და დანახარჯების მხარდამჭერი პროგრამ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ის ფარგლებში აზიის განვითარების ბანკიდან (</w:t>
      </w:r>
      <w:r w:rsidRPr="00A405DB">
        <w:rPr>
          <w:rFonts w:ascii="Sylfaen" w:eastAsia="Sylfaen" w:hAnsi="Sylfaen" w:cs="Sylfaen"/>
          <w:i/>
          <w:color w:val="000000"/>
          <w:lang w:val="ka-GE"/>
        </w:rPr>
        <w:t xml:space="preserve">ADB) 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მისაღები სახსრები - 300 000.0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EFF გაფართოებული დაფინანსების მექანიზმის პროგრამის ფარგლებში ( </w:t>
      </w:r>
      <w:r w:rsidRPr="00A405DB">
        <w:rPr>
          <w:rFonts w:ascii="Sylfaen" w:eastAsia="Sylfaen" w:hAnsi="Sylfaen" w:cs="Sylfaen"/>
          <w:i/>
          <w:color w:val="000000"/>
          <w:lang w:val="ka-GE"/>
        </w:rPr>
        <w:t xml:space="preserve">COVID-19 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პანდემია) საერთაშორისო სავალუტო ფონდიდან (IMF) მისაღები სახსრები - 603 000.0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ინკლუზიური ეკონომიკური განვითარების მატრიცის (სოციალური დაცვა) პროგრამის ფარგლებში აზიის განვითარების ბანკიდან (ADB) მისაღები სახსრები - 600 000.0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დარგობრივი სესხი განათლების  სექტორისთვის პროგრამის ფარგლებში აზიის განვითარების ბანკიდან (ADB) მისაღები სახსრები - 120 000.0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დარგობრივი სესხი წყლის სექტორისთვის პროგრამის ფარგლებში აზიის განვითარების ბანკიდან (ADB) მისაღები სახსრები - 240 000.0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განვითარების პოლიტიკის ღონისძიება ეკონომიკური მართვისა და კონკურენტუნარიანობისთვის პროგრამის ფარგლებში მსოფლიო ბანკიდან (WB) მისაღები სახსრები - 150</w:t>
      </w:r>
      <w:r w:rsidRPr="00A405DB">
        <w:rPr>
          <w:rFonts w:ascii="Sylfaen" w:eastAsia="Sylfaen" w:hAnsi="Sylfaen" w:cs="Sylfaen"/>
          <w:i/>
          <w:color w:val="000000"/>
          <w:lang w:val="ka-GE"/>
        </w:rPr>
        <w:t xml:space="preserve"> 0</w:t>
      </w:r>
      <w:r w:rsidRPr="00346D5B">
        <w:rPr>
          <w:rFonts w:ascii="Sylfaen" w:eastAsia="Sylfaen" w:hAnsi="Sylfaen" w:cs="Sylfaen"/>
          <w:i/>
          <w:color w:val="000000"/>
          <w:lang w:val="ka-GE"/>
        </w:rPr>
        <w:t>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განვითარების პოლიტიკის ღონისძიების დამატებითი მხარდაჭერა/დაფინანსება პროექტის ფარგლებში გერმანიის რეკონსტრუქციის საკრედიტო ბანკიდან (KfW) მისაღები სახსრები – 585 000.0 ათასი ლარის ოდენობით;</w:t>
      </w:r>
    </w:p>
    <w:p w:rsidR="00A405DB" w:rsidRPr="00346D5B" w:rsidRDefault="00A405DB" w:rsidP="00A405DB">
      <w:pPr>
        <w:pStyle w:val="Normal25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 xml:space="preserve">მაკროფინანსური დახმარების (MFA) IV პროგრამის  ფარგლებში ევროკავშირიდან (EU) მისაღები სახსრები – 240 000.0 ათასი ლარის ოდენობით; </w:t>
      </w:r>
    </w:p>
    <w:p w:rsidR="00A405DB" w:rsidRPr="00A405DB" w:rsidRDefault="00A405DB" w:rsidP="001F36D9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Sylfaen" w:eastAsia="Sylfaen" w:hAnsi="Sylfaen" w:cs="Sylfaen"/>
          <w:i/>
          <w:color w:val="000000"/>
          <w:sz w:val="24"/>
          <w:szCs w:val="24"/>
          <w:lang w:val="ka-GE"/>
        </w:rPr>
      </w:pPr>
      <w:r w:rsidRPr="00A405DB">
        <w:rPr>
          <w:rFonts w:ascii="Sylfaen" w:eastAsia="Sylfaen" w:hAnsi="Sylfaen" w:cs="Sylfaen"/>
          <w:i/>
          <w:color w:val="000000"/>
          <w:sz w:val="24"/>
          <w:szCs w:val="24"/>
          <w:lang w:val="ka-GE"/>
        </w:rPr>
        <w:t xml:space="preserve">ეკონომიკური მართვისა და კონკურენტუნარიანობის პროგრამის - (COVID-19 კრიზისის შემსუბუქება) ფარგლებში აზიის ინფრასტრუქტურის საინვესტიციო ბანკიდან  AIIB </w:t>
      </w:r>
      <w:r w:rsidRPr="00A405DB">
        <w:rPr>
          <w:rFonts w:ascii="Sylfaen" w:eastAsia="Sylfaen" w:hAnsi="Sylfaen" w:cs="Sylfaen"/>
          <w:i/>
          <w:color w:val="000000"/>
          <w:sz w:val="24"/>
          <w:szCs w:val="24"/>
          <w:lang w:val="ka-GE"/>
        </w:rPr>
        <w:lastRenderedPageBreak/>
        <w:t>მისაღები სახსრები - 15</w:t>
      </w:r>
      <w:r w:rsidRPr="00A405DB">
        <w:rPr>
          <w:rFonts w:ascii="Sylfaen" w:eastAsia="Sylfaen" w:hAnsi="Sylfaen" w:cs="Sylfaen"/>
          <w:i/>
          <w:color w:val="000000"/>
          <w:lang w:val="ka-GE"/>
        </w:rPr>
        <w:t>0 00</w:t>
      </w:r>
      <w:r w:rsidRPr="00A405DB">
        <w:rPr>
          <w:rFonts w:ascii="Sylfaen" w:eastAsia="Sylfaen" w:hAnsi="Sylfaen" w:cs="Sylfaen"/>
          <w:i/>
          <w:color w:val="000000"/>
          <w:sz w:val="24"/>
          <w:szCs w:val="24"/>
          <w:lang w:val="ka-GE"/>
        </w:rPr>
        <w:t xml:space="preserve">0.0  ათასი ლარის ოდენობით; </w:t>
      </w:r>
      <w:r w:rsidRPr="00A405DB">
        <w:rPr>
          <w:rFonts w:ascii="Sylfaen" w:eastAsia="Sylfaen" w:hAnsi="Sylfaen" w:cs="Sylfaen"/>
          <w:i/>
          <w:color w:val="000000"/>
          <w:sz w:val="24"/>
          <w:szCs w:val="24"/>
          <w:lang w:val="ka-GE"/>
        </w:rPr>
        <w:br/>
        <w:t>COVID-19-ის წინააღმდეგ სწრაფი რეაგირების პროგრამის ფარგლებში აზიის ინფრასტრუქტურის საინვესტიციო ბანკიდან  AIIB მისაღები სახსრები - 300 000.0  ათასი ლარის ოდენობით;</w:t>
      </w:r>
    </w:p>
    <w:p w:rsidR="00A405DB" w:rsidRPr="00346D5B" w:rsidRDefault="00A405DB" w:rsidP="00A405DB">
      <w:pPr>
        <w:pStyle w:val="Normal22"/>
        <w:numPr>
          <w:ilvl w:val="0"/>
          <w:numId w:val="13"/>
        </w:numPr>
        <w:spacing w:before="100" w:beforeAutospacing="1" w:line="240" w:lineRule="auto"/>
        <w:jc w:val="both"/>
        <w:rPr>
          <w:rFonts w:ascii="Sylfaen" w:eastAsia="Sylfaen" w:hAnsi="Sylfaen" w:cs="Sylfaen"/>
          <w:i/>
          <w:color w:val="000000"/>
          <w:lang w:val="ka-GE"/>
        </w:rPr>
      </w:pPr>
      <w:r w:rsidRPr="00346D5B">
        <w:rPr>
          <w:rFonts w:ascii="Sylfaen" w:eastAsia="Sylfaen" w:hAnsi="Sylfaen" w:cs="Sylfaen"/>
          <w:i/>
          <w:color w:val="000000"/>
          <w:lang w:val="ka-GE"/>
        </w:rPr>
        <w:t>COVID-19-ის წინააღმდეგ სწრაფი რეაგირების პროგრამის ფარგლებში მსოფლიო ბანკიდან (WB) მისაღები სახსრები - 240 000.0  ათასი ლარის ოდენობით;</w:t>
      </w:r>
    </w:p>
    <w:p w:rsidR="00A67E3A" w:rsidRPr="005D248B" w:rsidRDefault="000A05E4" w:rsidP="00483895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4458A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სახელმწიფო საგარეო ვალდებულებების მომსახურებისა და დაფარვისათვის საქართველოს 2020 წლის სახელმწიფო ბიუჯეტის 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5D248B">
        <w:rPr>
          <w:rFonts w:ascii="Sylfaen" w:hAnsi="Sylfaen" w:cs="Sylfaen"/>
          <w:szCs w:val="21"/>
          <w:shd w:val="clear" w:color="auto" w:fill="FFFFFF"/>
        </w:rPr>
        <w:t xml:space="preserve"> 1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D248B">
        <w:rPr>
          <w:rFonts w:ascii="Sylfaen" w:hAnsi="Sylfaen" w:cs="Sylfaen"/>
          <w:szCs w:val="21"/>
          <w:shd w:val="clear" w:color="auto" w:fill="FFFFFF"/>
        </w:rPr>
        <w:t>3</w:t>
      </w:r>
      <w:r w:rsidR="00483895" w:rsidRPr="005D248B">
        <w:rPr>
          <w:rFonts w:ascii="Sylfaen" w:hAnsi="Sylfaen" w:cs="Sylfaen"/>
          <w:szCs w:val="21"/>
          <w:shd w:val="clear" w:color="auto" w:fill="FFFFFF"/>
        </w:rPr>
        <w:t>60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D248B">
        <w:rPr>
          <w:rFonts w:ascii="Sylfaen" w:hAnsi="Sylfaen" w:cs="Sylfaen"/>
          <w:szCs w:val="21"/>
          <w:shd w:val="clear" w:color="auto" w:fill="FFFFFF"/>
        </w:rPr>
        <w:t>0</w:t>
      </w:r>
      <w:r w:rsidRPr="005D248B">
        <w:rPr>
          <w:rFonts w:ascii="Sylfaen" w:hAnsi="Sylfaen" w:cs="Sylfaen"/>
          <w:szCs w:val="21"/>
          <w:shd w:val="clear" w:color="auto" w:fill="FFFFFF"/>
        </w:rPr>
        <w:t>00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B4458A" w:rsidRPr="005D248B">
        <w:rPr>
          <w:rFonts w:ascii="Sylfaen" w:hAnsi="Sylfaen" w:cs="Sylfaen"/>
          <w:szCs w:val="21"/>
          <w:shd w:val="clear" w:color="auto" w:fill="FFFFFF"/>
        </w:rPr>
        <w:t>9</w:t>
      </w:r>
      <w:r w:rsidR="00483895" w:rsidRPr="005D248B">
        <w:rPr>
          <w:rFonts w:ascii="Sylfaen" w:hAnsi="Sylfaen" w:cs="Sylfaen"/>
          <w:szCs w:val="21"/>
          <w:shd w:val="clear" w:color="auto" w:fill="FFFFFF"/>
        </w:rPr>
        <w:t>85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D248B">
        <w:rPr>
          <w:rFonts w:ascii="Sylfaen" w:hAnsi="Sylfaen" w:cs="Sylfaen"/>
          <w:szCs w:val="21"/>
          <w:shd w:val="clear" w:color="auto" w:fill="FFFFFF"/>
        </w:rPr>
        <w:t>0</w:t>
      </w:r>
      <w:r w:rsidRPr="005D248B">
        <w:rPr>
          <w:rFonts w:ascii="Sylfaen" w:hAnsi="Sylfaen" w:cs="Sylfaen"/>
          <w:szCs w:val="21"/>
          <w:shd w:val="clear" w:color="auto" w:fill="FFFFFF"/>
        </w:rPr>
        <w:t>00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Pr="005D248B">
        <w:rPr>
          <w:rFonts w:ascii="Sylfaen" w:hAnsi="Sylfaen" w:cs="Sylfaen"/>
          <w:szCs w:val="21"/>
          <w:shd w:val="clear" w:color="auto" w:fill="FFFFFF"/>
        </w:rPr>
        <w:t>3</w:t>
      </w:r>
      <w:r w:rsidR="00483895" w:rsidRPr="005D248B">
        <w:rPr>
          <w:rFonts w:ascii="Sylfaen" w:hAnsi="Sylfaen" w:cs="Sylfaen"/>
          <w:szCs w:val="21"/>
          <w:shd w:val="clear" w:color="auto" w:fill="FFFFFF"/>
        </w:rPr>
        <w:t>75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D248B">
        <w:rPr>
          <w:rFonts w:ascii="Sylfaen" w:hAnsi="Sylfaen" w:cs="Sylfaen"/>
          <w:szCs w:val="21"/>
          <w:shd w:val="clear" w:color="auto" w:fill="FFFFFF"/>
        </w:rPr>
        <w:t>0</w:t>
      </w:r>
      <w:r w:rsidRPr="005D248B">
        <w:rPr>
          <w:rFonts w:ascii="Sylfaen" w:hAnsi="Sylfaen" w:cs="Sylfaen"/>
          <w:szCs w:val="21"/>
          <w:shd w:val="clear" w:color="auto" w:fill="FFFFFF"/>
        </w:rPr>
        <w:t>00</w:t>
      </w:r>
      <w:r w:rsidRPr="005D248B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A67E3A" w:rsidRPr="005D248B" w:rsidRDefault="00A67E3A" w:rsidP="00A67E3A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5D248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5D248B">
        <w:rPr>
          <w:rFonts w:ascii="Sylfaen" w:hAnsi="Sylfaen"/>
          <w:b/>
          <w:sz w:val="20"/>
          <w:szCs w:val="20"/>
          <w:lang w:val="ka-GE"/>
        </w:rPr>
        <w:t>2020 წლისთვის (პროგნოზი)</w:t>
      </w:r>
    </w:p>
    <w:p w:rsidR="00FB01F8" w:rsidRPr="005D248B" w:rsidRDefault="00FB01F8" w:rsidP="00B2218E">
      <w:pPr>
        <w:tabs>
          <w:tab w:val="left" w:pos="0"/>
        </w:tabs>
        <w:spacing w:after="0" w:line="240" w:lineRule="auto"/>
        <w:ind w:right="135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5D248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683"/>
        <w:gridCol w:w="2620"/>
        <w:gridCol w:w="2587"/>
      </w:tblGrid>
      <w:tr w:rsidR="00483895" w:rsidRPr="00483895" w:rsidTr="00F87859">
        <w:trPr>
          <w:trHeight w:val="525"/>
          <w:jc w:val="center"/>
        </w:trPr>
        <w:tc>
          <w:tcPr>
            <w:tcW w:w="1184" w:type="pct"/>
            <w:shd w:val="clear" w:color="auto" w:fill="auto"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r w:rsidRPr="004838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389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r w:rsidRPr="004838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4,150,000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588,000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4,738,000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4,160,000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1,204,000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5,364,000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30,100,000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6,441,000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36,541,000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85,200,000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19,950,000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105,150,000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აშშ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7,100,000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1,172,000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8,272,000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5,000,000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610,000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5,610,000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3,700,000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572,000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4,272,000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3,000,000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433,000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3,433,000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13,490,000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6,958,000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20,448,000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800,000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83,000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883,000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32,720,000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5,881,000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38,601,000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6,860,000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1,202,000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8,062,000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11,387,000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11,387,000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130,000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7,000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137,000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150,000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8,000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158,000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69,870,000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5,042,000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74,912,000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1,280,000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1,280,000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337,540,000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30,687,000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368,227,000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39,540,000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103,154,000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142,694,000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4,190,000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1,251,000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5,441,000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59,150,000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5,744,000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64,894,000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34,760,000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7,504,000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42,264,000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241,620,000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60,677,000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302,297,000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64,000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64,000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1,393,000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1,393,000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49,000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49,000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602,000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602,000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490,000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202,000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692,000 </w:t>
            </w:r>
          </w:p>
        </w:tc>
      </w:tr>
      <w:tr w:rsidR="00483895" w:rsidRPr="00483895" w:rsidTr="00F87859">
        <w:trPr>
          <w:trHeight w:val="315"/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102,135,000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102,135,000 </w:t>
            </w:r>
          </w:p>
        </w:tc>
      </w:tr>
      <w:tr w:rsidR="00483895" w:rsidRPr="00483895" w:rsidTr="00F87859">
        <w:trPr>
          <w:trHeight w:val="300"/>
          <w:jc w:val="center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483895" w:rsidRPr="00F87859" w:rsidRDefault="00F87859" w:rsidP="00483895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F8785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29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985,000,000 </w:t>
            </w:r>
          </w:p>
        </w:tc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375,000,000 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483895" w:rsidRPr="00483895" w:rsidRDefault="00483895" w:rsidP="00483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838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1,360,000,000 </w:t>
            </w:r>
          </w:p>
        </w:tc>
      </w:tr>
    </w:tbl>
    <w:p w:rsidR="006F461C" w:rsidRPr="00E45626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highlight w:val="yellow"/>
          <w:lang w:val="ka-GE"/>
        </w:rPr>
      </w:pPr>
    </w:p>
    <w:p w:rsidR="006F461C" w:rsidRPr="00140A25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9E33C4" w:rsidRPr="00140A25" w:rsidRDefault="00B57E95" w:rsidP="00B2218E">
      <w:pPr>
        <w:tabs>
          <w:tab w:val="left" w:pos="720"/>
        </w:tabs>
        <w:spacing w:after="120" w:line="240" w:lineRule="auto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8306F" w:rsidRPr="00140A25" w:rsidRDefault="00A8306F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396821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</w:rPr>
        <w:tab/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396821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აპრილ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 xml:space="preserve">ის 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>
        <w:rPr>
          <w:rFonts w:ascii="Sylfaen" w:hAnsi="Sylfaen" w:cs="Sylfaen"/>
          <w:szCs w:val="21"/>
          <w:shd w:val="clear" w:color="auto" w:fill="FFFFFF"/>
        </w:rPr>
        <w:t>.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2020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A67E3A">
        <w:rPr>
          <w:rFonts w:ascii="Sylfaen" w:hAnsi="Sylfaen" w:cs="Sylfaen"/>
          <w:szCs w:val="21"/>
          <w:shd w:val="clear" w:color="auto" w:fill="FFFFFF"/>
          <w:lang w:val="ka-GE"/>
        </w:rPr>
        <w:t>აპრილის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4,</w:t>
      </w:r>
      <w:r w:rsidR="00A67E3A">
        <w:rPr>
          <w:rFonts w:ascii="Sylfaen" w:hAnsi="Sylfaen" w:cs="Sylfaen"/>
          <w:shd w:val="clear" w:color="auto" w:fill="FFFFFF"/>
          <w:lang w:val="ka-GE"/>
        </w:rPr>
        <w:t>620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="00A67E3A">
        <w:rPr>
          <w:rFonts w:ascii="Sylfaen" w:hAnsi="Sylfaen" w:cs="Sylfaen"/>
          <w:shd w:val="clear" w:color="auto" w:fill="FFFFFF"/>
          <w:lang w:val="ka-GE"/>
        </w:rPr>
        <w:t>9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>
        <w:rPr>
          <w:rFonts w:ascii="Sylfaen" w:hAnsi="Sylfaen" w:cs="Sylfaen"/>
          <w:shd w:val="clear" w:color="auto" w:fill="FFFFFF"/>
          <w:lang w:val="ka-GE"/>
        </w:rPr>
        <w:t>4,</w:t>
      </w:r>
      <w:r w:rsidR="00A67E3A">
        <w:rPr>
          <w:rFonts w:ascii="Sylfaen" w:hAnsi="Sylfaen" w:cs="Sylfaen"/>
          <w:shd w:val="clear" w:color="auto" w:fill="FFFFFF"/>
          <w:lang w:val="ka-GE"/>
        </w:rPr>
        <w:t>667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="00A67E3A">
        <w:rPr>
          <w:rFonts w:ascii="Sylfaen" w:hAnsi="Sylfaen" w:cs="Sylfaen"/>
          <w:shd w:val="clear" w:color="auto" w:fill="FFFFFF"/>
          <w:lang w:val="ka-GE"/>
        </w:rPr>
        <w:t>9</w:t>
      </w:r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B4541C">
        <w:rPr>
          <w:rFonts w:ascii="Sylfaen" w:hAnsi="Sylfaen"/>
          <w:szCs w:val="21"/>
          <w:shd w:val="clear" w:color="auto" w:fill="FFFFFF"/>
          <w:lang w:val="ka-GE"/>
        </w:rPr>
        <w:t>4</w:t>
      </w:r>
      <w:r>
        <w:rPr>
          <w:rFonts w:ascii="Sylfaen" w:hAnsi="Sylfaen"/>
          <w:szCs w:val="21"/>
          <w:shd w:val="clear" w:color="auto" w:fill="FFFFFF"/>
          <w:lang w:val="ka-GE"/>
        </w:rPr>
        <w:t>.</w:t>
      </w:r>
      <w:r w:rsidR="00B4541C">
        <w:rPr>
          <w:rFonts w:ascii="Sylfaen" w:hAnsi="Sylfaen"/>
          <w:szCs w:val="21"/>
          <w:shd w:val="clear" w:color="auto" w:fill="FFFFFF"/>
          <w:lang w:val="ka-GE"/>
        </w:rPr>
        <w:t>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B4541C">
        <w:rPr>
          <w:rFonts w:ascii="Sylfaen" w:hAnsi="Sylfaen" w:cs="Sylfaen"/>
          <w:shd w:val="clear" w:color="auto" w:fill="FFFFFF"/>
          <w:lang w:val="ka-GE"/>
        </w:rPr>
        <w:t>4,</w:t>
      </w:r>
      <w:r w:rsidR="00A67E3A">
        <w:rPr>
          <w:rFonts w:ascii="Sylfaen" w:hAnsi="Sylfaen" w:cs="Sylfaen"/>
          <w:shd w:val="clear" w:color="auto" w:fill="FFFFFF"/>
          <w:lang w:val="ka-GE"/>
        </w:rPr>
        <w:t>233</w:t>
      </w:r>
      <w:r w:rsidR="00B4541C">
        <w:rPr>
          <w:rFonts w:ascii="Sylfaen" w:hAnsi="Sylfaen" w:cs="Sylfaen"/>
          <w:shd w:val="clear" w:color="auto" w:fill="FFFFFF"/>
          <w:lang w:val="ka-GE"/>
        </w:rPr>
        <w:t>.</w:t>
      </w:r>
      <w:r w:rsidR="00A67E3A">
        <w:rPr>
          <w:rFonts w:ascii="Sylfaen" w:hAnsi="Sylfaen" w:cs="Sylfaen"/>
          <w:shd w:val="clear" w:color="auto" w:fill="FFFFFF"/>
          <w:lang w:val="ka-GE"/>
        </w:rPr>
        <w:t>7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B4541C">
        <w:rPr>
          <w:rFonts w:ascii="Sylfaen" w:hAnsi="Sylfaen" w:cs="Sylfaen"/>
          <w:shd w:val="clear" w:color="auto" w:fill="FFFFFF"/>
        </w:rPr>
        <w:t>38</w:t>
      </w:r>
      <w:r>
        <w:rPr>
          <w:rFonts w:ascii="Sylfaen" w:hAnsi="Sylfaen" w:cs="Sylfaen"/>
          <w:shd w:val="clear" w:color="auto" w:fill="FFFFFF"/>
        </w:rPr>
        <w:t>2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B4541C">
        <w:rPr>
          <w:rFonts w:ascii="Sylfaen" w:hAnsi="Sylfaen"/>
          <w:szCs w:val="21"/>
          <w:shd w:val="clear" w:color="auto" w:fill="FFFFFF"/>
          <w:lang w:val="ka-GE"/>
        </w:rPr>
        <w:t>4.4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A67E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A67E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აპრილის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B79CB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2528"/>
      </w:tblGrid>
      <w:tr w:rsidR="00B4541C" w:rsidRPr="00B34FAA" w:rsidTr="002B6702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B4541C" w:rsidRPr="002B6702" w:rsidRDefault="00B4541C" w:rsidP="00B4541C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ka-GE"/>
              </w:rPr>
            </w:pP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:rsidR="00B4541C" w:rsidRPr="002B6702" w:rsidRDefault="00A67E3A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2B6702">
              <w:rPr>
                <w:rFonts w:ascii="Sylfaen" w:hAnsi="Sylfaen"/>
                <w:b/>
                <w:sz w:val="20"/>
                <w:lang w:val="ka-GE"/>
              </w:rPr>
              <w:t>4 672 271,7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4541C" w:rsidRPr="002B6702" w:rsidRDefault="00B4541C" w:rsidP="00B4541C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სახაზინო</w:t>
            </w:r>
            <w:r w:rsidRPr="002B670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r w:rsidRPr="002B670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</w:p>
        </w:tc>
        <w:tc>
          <w:tcPr>
            <w:tcW w:w="1266" w:type="pct"/>
            <w:hideMark/>
          </w:tcPr>
          <w:p w:rsidR="00B4541C" w:rsidRPr="002B6702" w:rsidRDefault="00A67E3A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2B6702">
              <w:rPr>
                <w:rFonts w:ascii="Sylfaen" w:hAnsi="Sylfaen"/>
                <w:b/>
                <w:sz w:val="20"/>
                <w:lang w:val="ka-GE"/>
              </w:rPr>
              <w:t>4</w:t>
            </w:r>
            <w:r w:rsidR="00B404A9" w:rsidRPr="002B670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2B6702">
              <w:rPr>
                <w:rFonts w:ascii="Sylfaen" w:hAnsi="Sylfaen"/>
                <w:b/>
                <w:sz w:val="20"/>
                <w:lang w:val="ka-GE"/>
              </w:rPr>
              <w:t>285</w:t>
            </w:r>
            <w:r w:rsidR="00B404A9" w:rsidRPr="002B670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2B6702">
              <w:rPr>
                <w:rFonts w:ascii="Sylfaen" w:hAnsi="Sylfaen"/>
                <w:b/>
                <w:sz w:val="20"/>
                <w:lang w:val="ka-GE"/>
              </w:rPr>
              <w:t>020,0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6</w:t>
            </w:r>
            <w:r w:rsidRPr="002B670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</w:rPr>
              <w:t>თვის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</w:rPr>
              <w:t>ვადიანობის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</w:rPr>
              <w:t>სახაზინო</w:t>
            </w:r>
            <w:r w:rsidRPr="002B670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</w:rPr>
              <w:t>ვალდებულებები</w:t>
            </w:r>
          </w:p>
        </w:tc>
        <w:tc>
          <w:tcPr>
            <w:tcW w:w="1266" w:type="pct"/>
          </w:tcPr>
          <w:p w:rsidR="00B4541C" w:rsidRPr="002B6702" w:rsidRDefault="00A67E3A" w:rsidP="00A67E3A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>270</w:t>
            </w:r>
            <w:r w:rsidR="00B4541C" w:rsidRPr="002B6702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2B6702">
              <w:rPr>
                <w:rFonts w:ascii="Sylfaen" w:hAnsi="Sylfaen"/>
                <w:sz w:val="20"/>
                <w:lang w:val="ka-GE"/>
              </w:rPr>
              <w:t>000</w:t>
            </w:r>
            <w:r w:rsidR="00B4541C" w:rsidRPr="002B6702">
              <w:rPr>
                <w:rFonts w:ascii="Sylfaen" w:hAnsi="Sylfaen"/>
                <w:sz w:val="20"/>
                <w:lang w:val="ka-GE"/>
              </w:rPr>
              <w:t>,</w:t>
            </w:r>
            <w:r w:rsidRPr="002B6702"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12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თვის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hideMark/>
          </w:tcPr>
          <w:p w:rsidR="00B4541C" w:rsidRPr="002B6702" w:rsidRDefault="00B4541C" w:rsidP="00A67E3A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>5</w:t>
            </w:r>
            <w:r w:rsidR="00A67E3A" w:rsidRPr="002B6702">
              <w:rPr>
                <w:rFonts w:ascii="Sylfaen" w:hAnsi="Sylfaen"/>
                <w:sz w:val="20"/>
                <w:lang w:val="ka-GE"/>
              </w:rPr>
              <w:t>8</w:t>
            </w:r>
            <w:r w:rsidRPr="002B6702">
              <w:rPr>
                <w:rFonts w:ascii="Sylfaen" w:hAnsi="Sylfaen"/>
                <w:sz w:val="20"/>
                <w:lang w:val="ka-GE"/>
              </w:rPr>
              <w:t>0 000,0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2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hideMark/>
          </w:tcPr>
          <w:p w:rsidR="00B4541C" w:rsidRPr="002B6702" w:rsidRDefault="00B4541C" w:rsidP="00A67E3A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 xml:space="preserve">1 </w:t>
            </w:r>
            <w:r w:rsidR="00A67E3A" w:rsidRPr="002B6702">
              <w:rPr>
                <w:rFonts w:ascii="Sylfaen" w:hAnsi="Sylfaen"/>
                <w:sz w:val="20"/>
                <w:lang w:val="ka-GE"/>
              </w:rPr>
              <w:t xml:space="preserve">210 </w:t>
            </w:r>
            <w:r w:rsidRPr="002B6702">
              <w:rPr>
                <w:rFonts w:ascii="Sylfaen" w:hAnsi="Sylfaen"/>
                <w:sz w:val="20"/>
                <w:lang w:val="ka-GE"/>
              </w:rPr>
              <w:t>000,0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5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hideMark/>
          </w:tcPr>
          <w:p w:rsidR="00B4541C" w:rsidRPr="002B6702" w:rsidRDefault="00B4541C" w:rsidP="00B404A9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>1 6</w:t>
            </w:r>
            <w:r w:rsidR="00B404A9" w:rsidRPr="002B6702">
              <w:rPr>
                <w:rFonts w:ascii="Sylfaen" w:hAnsi="Sylfaen"/>
                <w:sz w:val="20"/>
                <w:lang w:val="ka-GE"/>
              </w:rPr>
              <w:t>6</w:t>
            </w:r>
            <w:r w:rsidRPr="002B6702">
              <w:rPr>
                <w:rFonts w:ascii="Sylfaen" w:hAnsi="Sylfaen"/>
                <w:sz w:val="20"/>
                <w:lang w:val="ka-GE"/>
              </w:rPr>
              <w:t>2 500,0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10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hideMark/>
          </w:tcPr>
          <w:p w:rsidR="00B4541C" w:rsidRPr="002B6702" w:rsidRDefault="00B4541C" w:rsidP="00B404A9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>5</w:t>
            </w:r>
            <w:r w:rsidR="00B404A9" w:rsidRPr="002B6702">
              <w:rPr>
                <w:rFonts w:ascii="Sylfaen" w:hAnsi="Sylfaen"/>
                <w:sz w:val="20"/>
                <w:lang w:val="ka-GE"/>
              </w:rPr>
              <w:t>6</w:t>
            </w:r>
            <w:r w:rsidRPr="002B6702">
              <w:rPr>
                <w:rFonts w:ascii="Sylfaen" w:hAnsi="Sylfaen"/>
                <w:sz w:val="20"/>
                <w:lang w:val="ka-GE"/>
              </w:rPr>
              <w:t>2 520,0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4541C" w:rsidRPr="002B6702" w:rsidRDefault="00B4541C" w:rsidP="00B4541C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სხვა</w:t>
            </w:r>
            <w:r w:rsidRPr="002B670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r w:rsidRPr="002B670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</w:p>
        </w:tc>
        <w:tc>
          <w:tcPr>
            <w:tcW w:w="1266" w:type="pct"/>
          </w:tcPr>
          <w:p w:rsidR="00B4541C" w:rsidRPr="002B6702" w:rsidRDefault="00B4541C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2B6702">
              <w:rPr>
                <w:rFonts w:ascii="Sylfaen" w:hAnsi="Sylfaen"/>
                <w:b/>
                <w:sz w:val="20"/>
                <w:lang w:val="ka-GE"/>
              </w:rPr>
              <w:t>382 846,0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ობლიგაცია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სებ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-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hideMark/>
          </w:tcPr>
          <w:p w:rsidR="00B4541C" w:rsidRPr="002B6702" w:rsidRDefault="00B4541C" w:rsidP="00B4541C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>200 846,0</w:t>
            </w:r>
          </w:p>
        </w:tc>
      </w:tr>
      <w:tr w:rsidR="00B4541C" w:rsidRPr="00B34FAA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4541C" w:rsidRPr="002B6702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ღია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ბაზრის</w:t>
            </w:r>
            <w:r w:rsidRPr="002B6702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2B6702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hideMark/>
          </w:tcPr>
          <w:p w:rsidR="00B4541C" w:rsidRPr="002B6702" w:rsidRDefault="00B4541C" w:rsidP="00B4541C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2B6702">
              <w:rPr>
                <w:rFonts w:ascii="Sylfaen" w:hAnsi="Sylfaen"/>
                <w:sz w:val="20"/>
                <w:lang w:val="ka-GE"/>
              </w:rPr>
              <w:t>182 000,0</w:t>
            </w:r>
          </w:p>
        </w:tc>
      </w:tr>
      <w:tr w:rsidR="00B4541C" w:rsidRPr="00B404A9" w:rsidTr="002B6702">
        <w:trPr>
          <w:trHeight w:val="288"/>
          <w:jc w:val="center"/>
        </w:trPr>
        <w:tc>
          <w:tcPr>
            <w:tcW w:w="3734" w:type="pct"/>
            <w:vAlign w:val="center"/>
          </w:tcPr>
          <w:p w:rsidR="00B4541C" w:rsidRPr="002B6702" w:rsidRDefault="00B4541C" w:rsidP="00B4541C">
            <w:pPr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</w:pP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საბიუჯეტო ორგანიზაციების სესხის სახით არსებულ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ი ვალის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ნაშ</w:t>
            </w:r>
            <w:r w:rsidRPr="002B6702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თი</w:t>
            </w:r>
          </w:p>
        </w:tc>
        <w:tc>
          <w:tcPr>
            <w:tcW w:w="1266" w:type="pct"/>
          </w:tcPr>
          <w:p w:rsidR="00B4541C" w:rsidRPr="002B6702" w:rsidRDefault="00B4541C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2B6702">
              <w:rPr>
                <w:rFonts w:ascii="Sylfaen" w:hAnsi="Sylfaen"/>
                <w:b/>
                <w:sz w:val="20"/>
                <w:lang w:val="ka-GE"/>
              </w:rPr>
              <w:t>4 405,7</w:t>
            </w:r>
          </w:p>
        </w:tc>
      </w:tr>
    </w:tbl>
    <w:p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B404A9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2020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ბიუჯეტის</w:t>
      </w:r>
      <w:r>
        <w:t xml:space="preserve"> </w:t>
      </w:r>
      <w:r>
        <w:rPr>
          <w:rFonts w:ascii="Sylfaen" w:hAnsi="Sylfaen"/>
          <w:lang w:val="ka-GE"/>
        </w:rPr>
        <w:t xml:space="preserve">ცვლილების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ითვალისწინებს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მოსალოდნელ</w:t>
      </w:r>
      <w:r>
        <w:t xml:space="preserve"> </w:t>
      </w:r>
      <w:r w:rsidRPr="00ED6B83">
        <w:rPr>
          <w:rFonts w:ascii="Sylfaen" w:hAnsi="Sylfaen" w:cs="Sylfaen"/>
        </w:rPr>
        <w:t>კლებას</w:t>
      </w:r>
      <w:r w:rsidRPr="00ED6B83">
        <w:t xml:space="preserve"> </w:t>
      </w:r>
      <w:r w:rsidRPr="00ED6B83">
        <w:rPr>
          <w:rFonts w:ascii="Sylfaen" w:hAnsi="Sylfaen"/>
          <w:lang w:val="ka-GE"/>
        </w:rPr>
        <w:t>1 720 000</w:t>
      </w:r>
      <w:r w:rsidRPr="00ED6B83">
        <w:rPr>
          <w:rFonts w:ascii="Sylfaen" w:hAnsi="Sylfaen"/>
        </w:rPr>
        <w:t>.0</w:t>
      </w:r>
      <w:r w:rsidRPr="00ED6B83">
        <w:t xml:space="preserve"> </w:t>
      </w:r>
      <w:r w:rsidRPr="00ED6B83">
        <w:rPr>
          <w:rFonts w:ascii="Sylfaen" w:hAnsi="Sylfaen" w:cs="Sylfaen"/>
        </w:rPr>
        <w:t>ათასი</w:t>
      </w:r>
      <w:r w:rsidRPr="00ED6B83">
        <w:t xml:space="preserve"> </w:t>
      </w:r>
      <w:r w:rsidRPr="00ED6B83">
        <w:rPr>
          <w:rFonts w:ascii="Sylfaen" w:hAnsi="Sylfaen" w:cs="Sylfaen"/>
        </w:rPr>
        <w:t>ლარის</w:t>
      </w:r>
      <w:r w:rsidRPr="00ED6B83">
        <w:t xml:space="preserve"> </w:t>
      </w:r>
      <w:r w:rsidRPr="00ED6B83">
        <w:rPr>
          <w:rFonts w:ascii="Sylfaen" w:hAnsi="Sylfaen" w:cs="Sylfaen"/>
        </w:rPr>
        <w:t>ოდენობით</w:t>
      </w:r>
      <w:r w:rsidRPr="00ED6B83">
        <w:t xml:space="preserve">, </w:t>
      </w:r>
      <w:r w:rsidRPr="00ED6B83">
        <w:rPr>
          <w:rFonts w:ascii="Sylfaen" w:hAnsi="Sylfaen" w:cs="Sylfaen"/>
        </w:rPr>
        <w:t>მათ</w:t>
      </w:r>
      <w:r w:rsidRPr="00ED6B83">
        <w:t xml:space="preserve"> </w:t>
      </w:r>
      <w:r w:rsidRPr="00ED6B83">
        <w:rPr>
          <w:rFonts w:ascii="Sylfaen" w:hAnsi="Sylfaen" w:cs="Sylfaen"/>
        </w:rPr>
        <w:t>შორის</w:t>
      </w:r>
      <w:r w:rsidRPr="00ED6B83">
        <w:t xml:space="preserve"> </w:t>
      </w:r>
      <w:r w:rsidRPr="00ED6B83">
        <w:rPr>
          <w:rFonts w:ascii="Sylfaen" w:hAnsi="Sylfaen" w:cs="Sylfaen"/>
        </w:rPr>
        <w:t>სახაზინო</w:t>
      </w:r>
      <w:r w:rsidRPr="00ED6B83">
        <w:t xml:space="preserve"> </w:t>
      </w:r>
      <w:r w:rsidRPr="00ED6B83">
        <w:rPr>
          <w:rFonts w:ascii="Sylfaen" w:hAnsi="Sylfaen" w:cs="Sylfaen"/>
        </w:rPr>
        <w:t>ვალდებულებების</w:t>
      </w:r>
      <w:r w:rsidRPr="00ED6B83">
        <w:t xml:space="preserve"> </w:t>
      </w:r>
      <w:r w:rsidRPr="00ED6B83">
        <w:rPr>
          <w:rFonts w:ascii="Sylfaen" w:hAnsi="Sylfaen" w:cs="Sylfaen"/>
        </w:rPr>
        <w:t>და</w:t>
      </w:r>
      <w:r w:rsidRPr="00ED6B83">
        <w:t xml:space="preserve"> </w:t>
      </w:r>
      <w:r w:rsidRPr="00ED6B83">
        <w:rPr>
          <w:rFonts w:ascii="Sylfaen" w:hAnsi="Sylfaen" w:cs="Sylfaen"/>
        </w:rPr>
        <w:t>სახაზინო</w:t>
      </w:r>
      <w:r w:rsidRPr="00ED6B83">
        <w:t xml:space="preserve"> </w:t>
      </w:r>
      <w:r w:rsidRPr="00ED6B83">
        <w:rPr>
          <w:rFonts w:ascii="Sylfaen" w:hAnsi="Sylfaen" w:cs="Sylfaen"/>
        </w:rPr>
        <w:t>ობლიგაციების</w:t>
      </w:r>
      <w:r w:rsidRPr="00ED6B83">
        <w:t xml:space="preserve"> </w:t>
      </w:r>
      <w:r w:rsidRPr="00ED6B83">
        <w:rPr>
          <w:rFonts w:ascii="Sylfaen" w:hAnsi="Sylfaen" w:cs="Sylfaen"/>
        </w:rPr>
        <w:t>ძირითადი</w:t>
      </w:r>
      <w:r w:rsidRPr="00ED6B83">
        <w:t xml:space="preserve"> </w:t>
      </w:r>
      <w:r w:rsidRPr="00ED6B83">
        <w:rPr>
          <w:rFonts w:ascii="Sylfaen" w:hAnsi="Sylfaen" w:cs="Sylfaen"/>
        </w:rPr>
        <w:t>თანხის</w:t>
      </w:r>
      <w:r w:rsidRPr="00ED6B83">
        <w:t xml:space="preserve"> </w:t>
      </w:r>
      <w:r w:rsidRPr="00ED6B83">
        <w:rPr>
          <w:rFonts w:ascii="Sylfaen" w:hAnsi="Sylfaen" w:cs="Sylfaen"/>
        </w:rPr>
        <w:t>დაფარვას</w:t>
      </w:r>
      <w:r w:rsidRPr="00ED6B83">
        <w:t xml:space="preserve"> - </w:t>
      </w:r>
      <w:r w:rsidRPr="00ED6B83">
        <w:rPr>
          <w:rFonts w:ascii="Sylfaen" w:hAnsi="Sylfaen"/>
          <w:lang w:val="ka-GE"/>
        </w:rPr>
        <w:t xml:space="preserve">1 </w:t>
      </w:r>
      <w:r w:rsidRPr="00ED6B83">
        <w:rPr>
          <w:rFonts w:ascii="Sylfaen" w:hAnsi="Sylfaen"/>
        </w:rPr>
        <w:t>6</w:t>
      </w:r>
      <w:r w:rsidRPr="00ED6B83">
        <w:rPr>
          <w:rFonts w:ascii="Sylfaen" w:hAnsi="Sylfaen"/>
          <w:lang w:val="ka-GE"/>
        </w:rPr>
        <w:t>80 000</w:t>
      </w:r>
      <w:r w:rsidRPr="00ED6B83">
        <w:rPr>
          <w:rFonts w:ascii="Sylfaen" w:hAnsi="Sylfaen"/>
        </w:rPr>
        <w:t>.0</w:t>
      </w:r>
      <w:r w:rsidRPr="00ED6B83">
        <w:t xml:space="preserve"> </w:t>
      </w:r>
      <w:r w:rsidRPr="00ED6B83">
        <w:rPr>
          <w:rFonts w:ascii="Sylfaen" w:hAnsi="Sylfaen" w:cs="Sylfaen"/>
        </w:rPr>
        <w:t>ათასი</w:t>
      </w:r>
      <w:r w:rsidRPr="00ED6B83">
        <w:t xml:space="preserve"> </w:t>
      </w:r>
      <w:r w:rsidRPr="00ED6B83">
        <w:rPr>
          <w:rFonts w:ascii="Sylfaen" w:hAnsi="Sylfaen" w:cs="Sylfaen"/>
        </w:rPr>
        <w:t>ლარის</w:t>
      </w:r>
      <w:r w:rsidRPr="00ED6B83">
        <w:t xml:space="preserve"> </w:t>
      </w:r>
      <w:r w:rsidRPr="00ED6B83">
        <w:rPr>
          <w:rFonts w:ascii="Sylfaen" w:hAnsi="Sylfaen" w:cs="Sylfaen"/>
        </w:rPr>
        <w:t>ოდენობით</w:t>
      </w:r>
      <w:r w:rsidRPr="00ED6B83">
        <w:t xml:space="preserve"> </w:t>
      </w:r>
      <w:r w:rsidRPr="00ED6B83">
        <w:rPr>
          <w:rFonts w:ascii="Sylfaen" w:hAnsi="Sylfaen" w:cs="Sylfaen"/>
        </w:rPr>
        <w:t>და</w:t>
      </w:r>
      <w:r w:rsidRPr="00ED6B83">
        <w:t xml:space="preserve"> </w:t>
      </w:r>
      <w:r w:rsidRPr="00ED6B83">
        <w:rPr>
          <w:rFonts w:ascii="Sylfaen" w:hAnsi="Sylfaen" w:cs="Sylfaen"/>
        </w:rPr>
        <w:t>სახელმწიფო</w:t>
      </w:r>
      <w:r w:rsidRPr="00ED6B83">
        <w:t xml:space="preserve"> </w:t>
      </w:r>
      <w:r w:rsidRPr="00ED6B83">
        <w:rPr>
          <w:rFonts w:ascii="Sylfaen" w:hAnsi="Sylfaen" w:cs="Sylfaen"/>
        </w:rPr>
        <w:t>ობლიგაციების</w:t>
      </w:r>
      <w:r w:rsidRPr="00ED6B83">
        <w:t xml:space="preserve"> </w:t>
      </w:r>
      <w:r w:rsidRPr="00ED6B83">
        <w:rPr>
          <w:rFonts w:ascii="Sylfaen" w:hAnsi="Sylfaen" w:cs="Sylfaen"/>
        </w:rPr>
        <w:t>ძირითადი</w:t>
      </w:r>
      <w:r w:rsidRPr="00ED6B83">
        <w:t xml:space="preserve"> </w:t>
      </w:r>
      <w:r w:rsidRPr="00ED6B83">
        <w:rPr>
          <w:rFonts w:ascii="Sylfaen" w:hAnsi="Sylfaen" w:cs="Sylfaen"/>
        </w:rPr>
        <w:t>თანხის</w:t>
      </w:r>
      <w:r w:rsidRPr="00ED6B83">
        <w:t xml:space="preserve"> </w:t>
      </w:r>
      <w:r w:rsidRPr="00ED6B83">
        <w:rPr>
          <w:rFonts w:ascii="Sylfaen" w:hAnsi="Sylfaen" w:cs="Sylfaen"/>
        </w:rPr>
        <w:t>დაფარვას</w:t>
      </w:r>
      <w:r w:rsidRPr="00ED6B83">
        <w:t xml:space="preserve"> (</w:t>
      </w:r>
      <w:r w:rsidRPr="00ED6B83">
        <w:rPr>
          <w:rFonts w:ascii="Sylfaen" w:hAnsi="Sylfaen" w:cs="Sylfaen"/>
        </w:rPr>
        <w:t>სებ</w:t>
      </w:r>
      <w:r w:rsidRPr="00ED6B83">
        <w:t>-</w:t>
      </w:r>
      <w:r w:rsidRPr="00ED6B83">
        <w:rPr>
          <w:rFonts w:ascii="Sylfaen" w:hAnsi="Sylfaen" w:cs="Sylfaen"/>
        </w:rPr>
        <w:t>ის</w:t>
      </w:r>
      <w:r w:rsidRPr="00ED6B83">
        <w:t xml:space="preserve"> </w:t>
      </w:r>
      <w:r w:rsidRPr="00ED6B83">
        <w:rPr>
          <w:rFonts w:ascii="Sylfaen" w:hAnsi="Sylfaen" w:cs="Sylfaen"/>
        </w:rPr>
        <w:t>მიმართ</w:t>
      </w:r>
      <w:r w:rsidRPr="00ED6B83">
        <w:t xml:space="preserve"> </w:t>
      </w:r>
      <w:r w:rsidRPr="00ED6B83">
        <w:rPr>
          <w:rFonts w:ascii="Sylfaen" w:hAnsi="Sylfaen" w:cs="Sylfaen"/>
        </w:rPr>
        <w:t>ვალი</w:t>
      </w:r>
      <w:r w:rsidRPr="00ED6B83">
        <w:t xml:space="preserve">) – </w:t>
      </w:r>
      <w:r w:rsidRPr="00ED6B83">
        <w:rPr>
          <w:rFonts w:ascii="Sylfaen" w:hAnsi="Sylfaen"/>
          <w:lang w:val="ka-GE"/>
        </w:rPr>
        <w:t>40 000</w:t>
      </w:r>
      <w:r w:rsidRPr="00ED6B83">
        <w:rPr>
          <w:rFonts w:ascii="Sylfaen" w:hAnsi="Sylfaen"/>
        </w:rPr>
        <w:t>.0</w:t>
      </w:r>
      <w:r w:rsidRPr="00ED6B83">
        <w:t xml:space="preserve"> </w:t>
      </w:r>
      <w:r w:rsidRPr="00ED6B83">
        <w:rPr>
          <w:rFonts w:ascii="Sylfaen" w:hAnsi="Sylfaen" w:cs="Sylfaen"/>
        </w:rPr>
        <w:t>ათასი</w:t>
      </w:r>
      <w:r w:rsidRPr="00ED6B83">
        <w:t xml:space="preserve"> </w:t>
      </w:r>
      <w:r w:rsidRPr="00ED6B83">
        <w:rPr>
          <w:rFonts w:ascii="Sylfaen" w:hAnsi="Sylfaen" w:cs="Sylfaen"/>
        </w:rPr>
        <w:t>ლარის</w:t>
      </w:r>
      <w:r w:rsidRPr="00ED6B83">
        <w:t xml:space="preserve"> </w:t>
      </w:r>
      <w:r w:rsidRPr="00ED6B83">
        <w:rPr>
          <w:rFonts w:ascii="Sylfaen" w:hAnsi="Sylfaen" w:cs="Sylfaen"/>
        </w:rPr>
        <w:t>ოდენობით</w:t>
      </w:r>
      <w:r w:rsidRPr="00ED6B83">
        <w:t xml:space="preserve">, </w:t>
      </w:r>
      <w:r w:rsidRPr="00ED6B83">
        <w:rPr>
          <w:rFonts w:ascii="Sylfaen" w:hAnsi="Sylfaen" w:cs="Sylfaen"/>
        </w:rPr>
        <w:t>საქართველოს</w:t>
      </w:r>
      <w:r w:rsidRPr="00ED6B83">
        <w:t xml:space="preserve"> </w:t>
      </w:r>
      <w:r w:rsidRPr="00ED6B83">
        <w:rPr>
          <w:rFonts w:ascii="Sylfaen" w:hAnsi="Sylfaen" w:cs="Sylfaen"/>
        </w:rPr>
        <w:t>მთავრობის</w:t>
      </w:r>
      <w:r w:rsidRPr="00ED6B83">
        <w:t xml:space="preserve"> </w:t>
      </w:r>
      <w:r w:rsidRPr="00ED6B83">
        <w:rPr>
          <w:rFonts w:ascii="Sylfaen" w:hAnsi="Sylfaen" w:cs="Sylfaen"/>
        </w:rPr>
        <w:t>და</w:t>
      </w:r>
      <w:r w:rsidRPr="00ED6B83">
        <w:t xml:space="preserve"> </w:t>
      </w:r>
      <w:r w:rsidRPr="00ED6B83">
        <w:rPr>
          <w:rFonts w:ascii="Sylfaen" w:hAnsi="Sylfaen" w:cs="Sylfaen"/>
        </w:rPr>
        <w:t>საქართველოს</w:t>
      </w:r>
      <w:r w:rsidRPr="00ED6B83">
        <w:t xml:space="preserve"> </w:t>
      </w:r>
      <w:r w:rsidRPr="00ED6B83">
        <w:rPr>
          <w:rFonts w:ascii="Sylfaen" w:hAnsi="Sylfaen" w:cs="Sylfaen"/>
        </w:rPr>
        <w:t>ეროვნული</w:t>
      </w:r>
      <w:r w:rsidRPr="00ED6B83">
        <w:t xml:space="preserve"> </w:t>
      </w:r>
      <w:r w:rsidRPr="00ED6B83">
        <w:rPr>
          <w:rFonts w:ascii="Sylfaen" w:hAnsi="Sylfaen" w:cs="Sylfaen"/>
        </w:rPr>
        <w:t>ბანკის</w:t>
      </w:r>
      <w:r w:rsidRPr="00ED6B83">
        <w:t xml:space="preserve"> 2006 </w:t>
      </w:r>
      <w:r w:rsidRPr="00ED6B83">
        <w:rPr>
          <w:rFonts w:ascii="Sylfaen" w:hAnsi="Sylfaen" w:cs="Sylfaen"/>
        </w:rPr>
        <w:t>წლის</w:t>
      </w:r>
      <w:r w:rsidRPr="00ED6B83">
        <w:t xml:space="preserve"> 15 </w:t>
      </w:r>
      <w:r w:rsidRPr="00ED6B83">
        <w:rPr>
          <w:rFonts w:ascii="Sylfaen" w:hAnsi="Sylfaen" w:cs="Sylfaen"/>
        </w:rPr>
        <w:t>მაისის</w:t>
      </w:r>
      <w:r w:rsidRPr="00ED6B83">
        <w:t xml:space="preserve"> „</w:t>
      </w:r>
      <w:r w:rsidRPr="00ED6B83">
        <w:rPr>
          <w:rFonts w:ascii="Sylfaen" w:hAnsi="Sylfaen" w:cs="Sylfaen"/>
        </w:rPr>
        <w:t>საქართველოს</w:t>
      </w:r>
      <w:r w:rsidRPr="00ED6B83">
        <w:t xml:space="preserve"> </w:t>
      </w:r>
      <w:r w:rsidRPr="00ED6B83">
        <w:rPr>
          <w:rFonts w:ascii="Sylfaen" w:hAnsi="Sylfaen" w:cs="Sylfaen"/>
        </w:rPr>
        <w:t>მთავრობის</w:t>
      </w:r>
      <w:r w:rsidRPr="00ED6B83">
        <w:t xml:space="preserve"> </w:t>
      </w:r>
      <w:r w:rsidRPr="00ED6B83">
        <w:rPr>
          <w:rFonts w:ascii="Sylfaen" w:hAnsi="Sylfaen" w:cs="Sylfaen"/>
        </w:rPr>
        <w:t>საქართველოს</w:t>
      </w:r>
      <w:r w:rsidRPr="00ED6B83">
        <w:t xml:space="preserve"> </w:t>
      </w:r>
      <w:r w:rsidRPr="00ED6B83">
        <w:rPr>
          <w:rFonts w:ascii="Sylfaen" w:hAnsi="Sylfaen" w:cs="Sylfaen"/>
        </w:rPr>
        <w:t>ეროვნული</w:t>
      </w:r>
      <w:r w:rsidRPr="00ED6B83">
        <w:t xml:space="preserve"> </w:t>
      </w:r>
      <w:r w:rsidRPr="00ED6B83">
        <w:rPr>
          <w:rFonts w:ascii="Sylfaen" w:hAnsi="Sylfaen" w:cs="Sylfaen"/>
        </w:rPr>
        <w:t>ბანკისადმი</w:t>
      </w:r>
      <w:r w:rsidRPr="00ED6B83">
        <w:t xml:space="preserve"> </w:t>
      </w:r>
      <w:r w:rsidRPr="00ED6B83">
        <w:rPr>
          <w:rFonts w:ascii="Sylfaen" w:hAnsi="Sylfaen" w:cs="Sylfaen"/>
        </w:rPr>
        <w:t>დავალიანების</w:t>
      </w:r>
      <w:r w:rsidRPr="00ED6B83">
        <w:t xml:space="preserve"> </w:t>
      </w:r>
      <w:r w:rsidRPr="00ED6B83">
        <w:rPr>
          <w:rFonts w:ascii="Sylfaen" w:hAnsi="Sylfaen" w:cs="Sylfaen"/>
        </w:rPr>
        <w:t>დაფარვის</w:t>
      </w:r>
      <w:r w:rsidRPr="00ED6B83">
        <w:t xml:space="preserve"> </w:t>
      </w:r>
      <w:r w:rsidRPr="00ED6B83">
        <w:rPr>
          <w:rFonts w:ascii="Sylfaen" w:hAnsi="Sylfaen" w:cs="Sylfaen"/>
        </w:rPr>
        <w:t>ღონისძიებების</w:t>
      </w:r>
      <w:r w:rsidRPr="00ED6B83">
        <w:t xml:space="preserve"> </w:t>
      </w:r>
      <w:r w:rsidRPr="00ED6B83">
        <w:rPr>
          <w:rFonts w:ascii="Sylfaen" w:hAnsi="Sylfaen" w:cs="Sylfaen"/>
        </w:rPr>
        <w:t>შესახებ</w:t>
      </w:r>
      <w:r w:rsidRPr="00ED6B83">
        <w:t xml:space="preserve">“ 2006 </w:t>
      </w:r>
      <w:r w:rsidRPr="00ED6B83">
        <w:rPr>
          <w:rFonts w:ascii="Sylfaen" w:hAnsi="Sylfaen" w:cs="Sylfaen"/>
        </w:rPr>
        <w:t>წლის</w:t>
      </w:r>
      <w:r w:rsidRPr="00ED6B83">
        <w:t xml:space="preserve"> 20 </w:t>
      </w:r>
      <w:r w:rsidRPr="00ED6B83">
        <w:rPr>
          <w:rFonts w:ascii="Sylfaen" w:hAnsi="Sylfaen" w:cs="Sylfaen"/>
        </w:rPr>
        <w:t>მარტის</w:t>
      </w:r>
      <w:r w:rsidRPr="00ED6B83">
        <w:t xml:space="preserve"> </w:t>
      </w:r>
      <w:r w:rsidRPr="00ED6B83">
        <w:rPr>
          <w:rFonts w:ascii="Sylfaen" w:hAnsi="Sylfaen" w:cs="Sylfaen"/>
        </w:rPr>
        <w:t>შეთანხმებაში</w:t>
      </w:r>
      <w:r w:rsidRPr="00ED6B83">
        <w:t xml:space="preserve"> </w:t>
      </w:r>
      <w:r w:rsidRPr="00ED6B83">
        <w:rPr>
          <w:rFonts w:ascii="Sylfaen" w:hAnsi="Sylfaen" w:cs="Sylfaen"/>
        </w:rPr>
        <w:t>ცვლილებების</w:t>
      </w:r>
      <w:r w:rsidRPr="00ED6B83">
        <w:t xml:space="preserve"> </w:t>
      </w:r>
      <w:r w:rsidRPr="00ED6B83">
        <w:rPr>
          <w:rFonts w:ascii="Sylfaen" w:hAnsi="Sylfaen" w:cs="Sylfaen"/>
        </w:rPr>
        <w:t>შეტანის</w:t>
      </w:r>
      <w:r w:rsidRPr="00ED6B83">
        <w:t xml:space="preserve"> </w:t>
      </w:r>
      <w:r w:rsidRPr="00ED6B83">
        <w:rPr>
          <w:rFonts w:ascii="Sylfaen" w:hAnsi="Sylfaen" w:cs="Sylfaen"/>
        </w:rPr>
        <w:t>თაობაზე</w:t>
      </w:r>
      <w:r w:rsidRPr="00ED6B83">
        <w:t xml:space="preserve">“ </w:t>
      </w:r>
      <w:r w:rsidRPr="00ED6B83">
        <w:rPr>
          <w:rFonts w:ascii="Sylfaen" w:hAnsi="Sylfaen" w:cs="Sylfaen"/>
        </w:rPr>
        <w:t>შეთანხმების</w:t>
      </w:r>
      <w:r w:rsidRPr="00ED6B83">
        <w:t xml:space="preserve"> </w:t>
      </w:r>
      <w:r w:rsidRPr="00ED6B83">
        <w:rPr>
          <w:rFonts w:ascii="Sylfaen" w:hAnsi="Sylfaen" w:cs="Sylfaen"/>
        </w:rPr>
        <w:t>შესაბამისად</w:t>
      </w:r>
      <w:r w:rsidRPr="00ED6B83">
        <w:t>.</w:t>
      </w:r>
      <w:r>
        <w:t xml:space="preserve"> </w:t>
      </w:r>
    </w:p>
    <w:p w:rsidR="00DB15D9" w:rsidRPr="00DB15D9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F87859">
        <w:rPr>
          <w:rFonts w:ascii="Sylfaen" w:hAnsi="Sylfaen" w:cs="Sylfaen"/>
        </w:rPr>
        <w:t xml:space="preserve">2020 წლის განმავლობაში </w:t>
      </w:r>
      <w:r w:rsidR="00DB15D9" w:rsidRPr="00F87859">
        <w:rPr>
          <w:rFonts w:ascii="Sylfaen" w:hAnsi="Sylfaen" w:cs="Sylfaen"/>
        </w:rPr>
        <w:t>სახაზინო ვალდებულებებისა და სახაზინო ობლიგაციების გამოშვებით საშინაო ვალდებულებების ზრდის საპროგნოზო მაჩვენებელი განისაზღვროს 1 850 000.0 ათასი ლარით.</w:t>
      </w:r>
      <w:r w:rsidR="00DB15D9" w:rsidRPr="00DB15D9">
        <w:rPr>
          <w:rFonts w:ascii="Sylfaen" w:hAnsi="Sylfaen" w:cs="Sylfaen"/>
        </w:rPr>
        <w:t xml:space="preserve"> </w:t>
      </w:r>
    </w:p>
    <w:p w:rsidR="00FE1A0F" w:rsidRPr="00FE1A0F" w:rsidRDefault="00FE1A0F" w:rsidP="00FE1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706CC5">
        <w:rPr>
          <w:rFonts w:ascii="Sylfaen" w:hAnsi="Sylfaen" w:cs="Sylfaen"/>
        </w:rPr>
        <w:t xml:space="preserve">2020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rPr>
          <w:rFonts w:ascii="Sylfaen" w:hAnsi="Sylfaen" w:cs="Sylfaen"/>
          <w:lang w:val="ka-GE"/>
        </w:rPr>
        <w:t xml:space="preserve"> გამოშვების შედეგად </w:t>
      </w:r>
      <w:r>
        <w:rPr>
          <w:rFonts w:ascii="Sylfaen" w:hAnsi="Sylfaen" w:cs="Sylfaen"/>
        </w:rPr>
        <w:t>ბიუჯეტში</w:t>
      </w:r>
      <w:r>
        <w:t xml:space="preserve"> </w:t>
      </w:r>
      <w:r>
        <w:rPr>
          <w:rFonts w:ascii="Sylfaen" w:hAnsi="Sylfaen" w:cs="Sylfaen"/>
        </w:rPr>
        <w:t>შემოსულ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დაფარულ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თანხებს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სხვაობა</w:t>
      </w:r>
      <w:r>
        <w:rPr>
          <w:rFonts w:ascii="Sylfaen" w:hAnsi="Sylfaen" w:cs="Sylfaen"/>
          <w:lang w:val="ka-GE"/>
        </w:rPr>
        <w:t>, ასევე 2020 წლის ბოლოსთვის მთავრობის საშინაო ვალის საპროგნოზო ნაშთი მოიცავს „</w:t>
      </w:r>
      <w:r w:rsidRPr="00FE1A0F">
        <w:rPr>
          <w:rFonts w:ascii="Sylfaen" w:hAnsi="Sylfaen" w:cs="Sylfaen"/>
        </w:rPr>
        <w:t>ეკონომიკის გრძელვადიანი რესურსით უზრუნველყოფის ხელშეწყობის მექანიზმისთვის სახელმწიფო ფასიანი ქაღალდების</w:t>
      </w:r>
      <w:r>
        <w:rPr>
          <w:rFonts w:ascii="Sylfaen" w:hAnsi="Sylfaen" w:cs="Sylfaen"/>
          <w:lang w:val="ka-GE"/>
        </w:rPr>
        <w:t>“</w:t>
      </w:r>
      <w:r w:rsidRPr="00FE1A0F">
        <w:rPr>
          <w:rFonts w:ascii="Sylfaen" w:hAnsi="Sylfaen" w:cs="Sylfaen"/>
        </w:rPr>
        <w:t xml:space="preserve"> დამატებით გამოშვებას 600 000.0 ათასი ლარის ოდენობით.  </w:t>
      </w:r>
    </w:p>
    <w:p w:rsidR="00B404A9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E1A0F">
        <w:rPr>
          <w:rFonts w:ascii="Sylfaen" w:hAnsi="Sylfaen" w:cs="Sylfaen"/>
        </w:rPr>
        <w:t xml:space="preserve">2019 </w:t>
      </w:r>
      <w:r>
        <w:rPr>
          <w:rFonts w:ascii="Sylfaen" w:hAnsi="Sylfaen" w:cs="Sylfaen"/>
        </w:rPr>
        <w:t>წლის</w:t>
      </w:r>
      <w:r w:rsidRPr="00FE1A0F">
        <w:rPr>
          <w:rFonts w:ascii="Sylfaen" w:hAnsi="Sylfaen" w:cs="Sylfaen"/>
        </w:rPr>
        <w:t xml:space="preserve"> მეოთხე კვარტლიდან დაიწყო </w:t>
      </w:r>
      <w:r>
        <w:rPr>
          <w:rFonts w:ascii="Sylfaen" w:hAnsi="Sylfaen" w:cs="Sylfaen"/>
        </w:rPr>
        <w:t>ნაწილობრივი</w:t>
      </w:r>
      <w:r w:rsidRPr="00FE1A0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გამოსყიდვის</w:t>
      </w:r>
      <w:r w:rsidRPr="00FE1A0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ოპერაციების</w:t>
      </w:r>
      <w:r>
        <w:t xml:space="preserve"> (Buyback Operations) </w:t>
      </w:r>
      <w:r>
        <w:rPr>
          <w:rFonts w:ascii="Sylfaen" w:hAnsi="Sylfaen" w:cs="Sylfaen"/>
          <w:lang w:val="ka-GE"/>
        </w:rPr>
        <w:t>განხორციელება, რაც გულისხმობს უკვე გამოშვებული ფასიანი ქაღალდების გამოსყიდვას დაფარვის ვადამდე. 2020 წლის განმავლობაშიც იგეგმება გამოსყიდვის ოპერაციების გაგრძელება, რაც თავის მხრივ</w:t>
      </w:r>
      <w:r w:rsidR="00FE1A0F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გავლენას</w:t>
      </w:r>
      <w:r>
        <w:t xml:space="preserve"> </w:t>
      </w:r>
      <w:r>
        <w:rPr>
          <w:rFonts w:ascii="Sylfaen" w:hAnsi="Sylfaen" w:cs="Sylfaen"/>
        </w:rPr>
        <w:t>მოახდენს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ხარჯზე</w:t>
      </w:r>
      <w:r>
        <w:t xml:space="preserve">. </w:t>
      </w:r>
    </w:p>
    <w:p w:rsidR="00B404A9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lastRenderedPageBreak/>
        <w:t>2020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ბიუჯეტის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</w:t>
      </w:r>
      <w:r>
        <w:rPr>
          <w:rFonts w:ascii="Sylfaen" w:hAnsi="Sylfaen" w:cs="Sylfaen"/>
        </w:rPr>
        <w:t>პროექტით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საგარეო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ვალის</w:t>
      </w:r>
      <w:r>
        <w:t xml:space="preserve"> </w:t>
      </w:r>
      <w:r>
        <w:rPr>
          <w:rFonts w:ascii="Sylfaen" w:hAnsi="Sylfaen" w:cs="Sylfaen"/>
        </w:rPr>
        <w:t>პარამეტრები</w:t>
      </w:r>
      <w:r>
        <w:t xml:space="preserve"> </w:t>
      </w:r>
      <w:r>
        <w:rPr>
          <w:rFonts w:ascii="Sylfaen" w:hAnsi="Sylfaen" w:cs="Sylfaen"/>
        </w:rPr>
        <w:t>უზრუნველყოფენ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ვალის</w:t>
      </w:r>
      <w:r>
        <w:t xml:space="preserve"> </w:t>
      </w:r>
      <w:r>
        <w:rPr>
          <w:rFonts w:ascii="Sylfaen" w:hAnsi="Sylfaen" w:cs="Sylfaen"/>
        </w:rPr>
        <w:t>მდგრადობის</w:t>
      </w:r>
      <w:r>
        <w:t xml:space="preserve"> </w:t>
      </w:r>
      <w:r>
        <w:rPr>
          <w:rFonts w:ascii="Sylfaen" w:hAnsi="Sylfaen" w:cs="Sylfaen"/>
        </w:rPr>
        <w:t>შენარჩუნებას</w:t>
      </w:r>
      <w:r>
        <w:t xml:space="preserve"> </w:t>
      </w:r>
      <w:r>
        <w:rPr>
          <w:rFonts w:ascii="Sylfaen" w:hAnsi="Sylfaen" w:cs="Sylfaen"/>
        </w:rPr>
        <w:t>საშუალოვადიან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  <w:lang w:val="ka-GE"/>
        </w:rPr>
        <w:t>.</w:t>
      </w: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26066" w:rsidRDefault="00F26066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3430DD">
        <w:rPr>
          <w:rFonts w:ascii="Sylfaen" w:hAnsi="Sylfaen" w:cs="Sylfaen"/>
          <w:lang w:val="ka-GE"/>
        </w:rPr>
        <w:tab/>
      </w:r>
    </w:p>
    <w:p w:rsidR="00B2218E" w:rsidRPr="003430DD" w:rsidRDefault="00B2218E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FE1A0F" w:rsidRPr="00FE1A0F" w:rsidRDefault="00FE1A0F" w:rsidP="00FE1A0F">
      <w:pPr>
        <w:tabs>
          <w:tab w:val="left" w:pos="720"/>
        </w:tabs>
        <w:spacing w:before="240" w:after="0" w:line="240" w:lineRule="auto"/>
        <w:jc w:val="center"/>
        <w:rPr>
          <w:rFonts w:ascii="Sylfaen" w:hAnsi="Sylfaen"/>
          <w:i/>
          <w:noProof/>
          <w:color w:val="000000"/>
          <w:lang w:val="ka-GE"/>
        </w:rPr>
      </w:pPr>
      <w:r w:rsidRPr="00FE1A0F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2020 წლის ბოლოსთვის</w:t>
      </w:r>
    </w:p>
    <w:p w:rsidR="004150CD" w:rsidRPr="003430DD" w:rsidRDefault="004150CD" w:rsidP="004150CD">
      <w:pPr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FB7087" w:rsidRPr="00AD59D0" w:rsidRDefault="00AD59D0" w:rsidP="00AD59D0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419"/>
        <w:gridCol w:w="7821"/>
        <w:gridCol w:w="2300"/>
      </w:tblGrid>
      <w:tr w:rsidR="003D62DD" w:rsidRPr="003D62DD" w:rsidTr="00D3267C">
        <w:trPr>
          <w:trHeight w:val="300"/>
          <w:tblHeader/>
        </w:trPr>
        <w:tc>
          <w:tcPr>
            <w:tcW w:w="8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62DD" w:rsidRPr="003D62DD" w:rsidRDefault="00B04141" w:rsidP="003D62D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3430DD">
              <w:rPr>
                <w:rFonts w:ascii="Sylfaen" w:hAnsi="Sylfae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 </w:t>
            </w:r>
            <w:r w:rsidR="003D62DD" w:rsidRPr="003D62DD">
              <w:rPr>
                <w:rFonts w:ascii="Sylfaen" w:eastAsia="Times New Roman" w:hAnsi="Sylfaen" w:cs="Arial"/>
                <w:b/>
                <w:bCs/>
                <w:color w:val="000000"/>
              </w:rPr>
              <w:t>კრედიტორი</w:t>
            </w:r>
            <w:r w:rsidR="003D62DD" w:rsidRPr="003D62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საპროგნოზო</w:t>
            </w: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3D62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ნაშთი</w:t>
            </w: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D62DD" w:rsidRPr="003D62DD" w:rsidTr="00C32166">
        <w:trPr>
          <w:trHeight w:val="77"/>
        </w:trPr>
        <w:tc>
          <w:tcPr>
            <w:tcW w:w="8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31.12.2020</w:t>
            </w:r>
          </w:p>
        </w:tc>
      </w:tr>
      <w:tr w:rsidR="003D62DD" w:rsidRPr="003D62DD" w:rsidTr="00C32166">
        <w:trPr>
          <w:trHeight w:val="60"/>
        </w:trPr>
        <w:tc>
          <w:tcPr>
            <w:tcW w:w="8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DD" w:rsidRPr="003D62DD" w:rsidRDefault="003D62DD" w:rsidP="00F87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3D62DD" w:rsidRPr="003D62DD" w:rsidTr="00C32166">
        <w:trPr>
          <w:trHeight w:val="315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სულ მთავრობის საგარეო  ვალის ზღვრული მოცულობა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21,369,644</w:t>
            </w:r>
          </w:p>
        </w:tc>
      </w:tr>
      <w:tr w:rsidR="003D62DD" w:rsidRPr="003D62DD" w:rsidTr="00C32166">
        <w:trPr>
          <w:trHeight w:val="300"/>
        </w:trPr>
        <w:tc>
          <w:tcPr>
            <w:tcW w:w="8240" w:type="dxa"/>
            <w:gridSpan w:val="2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2300" w:type="dxa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15,358,534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აზიის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განვითარების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2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5,331,582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აზიის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ინფრასტრუქტურის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საინვესტიციო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506,682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ევროპის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რეკონსტრუქციისა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და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განვითარების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523,398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ევროპის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საინვესტიციო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1,966,607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ევროკავშირი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444,513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მსოფლიო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5,772,592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სოფლის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მეურნეობის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განვითარების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საერთაშორისო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ფონდი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99,987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საერთაშორისო სავალუტო ფონდი (IMF)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603,394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ევროსაბჭოს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განვითარების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104,465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გარემოს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დაცვის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სკანდინავიური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საფინანსო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კორპორაცია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(NEFCO)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5,315</w:t>
            </w:r>
          </w:p>
        </w:tc>
      </w:tr>
      <w:tr w:rsidR="003D62DD" w:rsidRPr="003D62DD" w:rsidTr="00C32166">
        <w:trPr>
          <w:trHeight w:val="300"/>
        </w:trPr>
        <w:tc>
          <w:tcPr>
            <w:tcW w:w="824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6E3BC" w:themeFill="accent3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402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4,514,438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სომხეთი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16,369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აზერბაიჯანი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16,386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ავსტრია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52,235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ჩინეთი 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2,515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საფრანგეთი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1,563,433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გერმანია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1,975,319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ირანი    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12,277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იაპონია 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614,688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ყაზახეთი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26,201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კუვეიტი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34,330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ნიდერლანდები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1,067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რუსეთი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120,720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თურქეთი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31,681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თურქმენეთი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უკრაინა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ამერიკა 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46,296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უზბეკეთი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</w:tr>
      <w:tr w:rsidR="003D62DD" w:rsidRPr="003D62DD" w:rsidTr="00C32166">
        <w:trPr>
          <w:trHeight w:val="300"/>
        </w:trPr>
        <w:tc>
          <w:tcPr>
            <w:tcW w:w="824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6E3BC" w:themeFill="accent3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402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სხვა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1,492,050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ევრობონდები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1,492,050</w:t>
            </w:r>
          </w:p>
        </w:tc>
      </w:tr>
      <w:tr w:rsidR="003D62DD" w:rsidRPr="003D62DD" w:rsidTr="00C32166">
        <w:trPr>
          <w:trHeight w:val="300"/>
        </w:trPr>
        <w:tc>
          <w:tcPr>
            <w:tcW w:w="824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6E3BC" w:themeFill="accent3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402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სახელმწიფოს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გარანტიით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4,622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გერმანია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4,622</w:t>
            </w:r>
          </w:p>
        </w:tc>
      </w:tr>
      <w:tr w:rsidR="003D62DD" w:rsidRPr="003D62DD" w:rsidTr="00C32166">
        <w:trPr>
          <w:trHeight w:val="300"/>
        </w:trPr>
        <w:tc>
          <w:tcPr>
            <w:tcW w:w="824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8CCE4" w:themeFill="accent1" w:themeFillTint="66"/>
            <w:vAlign w:val="center"/>
            <w:hideMark/>
          </w:tcPr>
          <w:p w:rsidR="003D62DD" w:rsidRPr="003D62DD" w:rsidRDefault="003D62DD" w:rsidP="007C7CC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მთავრობის საშინაო ვალის ზღვრული მოცულობა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62DD" w:rsidRPr="003D62DD" w:rsidRDefault="003D62DD" w:rsidP="007C7CC8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5,971,201</w:t>
            </w:r>
          </w:p>
        </w:tc>
      </w:tr>
      <w:tr w:rsidR="003D62DD" w:rsidRPr="003D62DD" w:rsidTr="00C32166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7C7CC8">
            <w:pPr>
              <w:spacing w:after="0" w:line="240" w:lineRule="auto"/>
              <w:ind w:left="312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ეროვნული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ბანკისთვის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განკუთვნილი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ერთწლიანი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ყოველწლიურად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განახლებადი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სახელმწიფო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ობლიგაცია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200,846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სხვადასხვა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ვადის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სახელმწიფო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ობლიგაციები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ღია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ბაზრის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ოპერაციებისთვის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152,000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ფინანსთა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სამინისტროს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სახაზინო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ვალდებულებები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691,032</w:t>
            </w:r>
          </w:p>
        </w:tc>
      </w:tr>
      <w:tr w:rsidR="003D62DD" w:rsidRPr="003D62DD" w:rsidTr="00C321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ფინანსთა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სამინისტროს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სახაზინო</w:t>
            </w:r>
            <w:r w:rsidRPr="003D6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ობლიგაციები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4,922,918</w:t>
            </w:r>
          </w:p>
        </w:tc>
      </w:tr>
      <w:tr w:rsidR="003D62DD" w:rsidRPr="003D62DD" w:rsidTr="0068255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ind w:firstLineChars="200" w:firstLine="320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3D62DD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საბიუჯეტო ორგანიზაციების სესხის სახით არსებული ვალი 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62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4,406</w:t>
            </w:r>
          </w:p>
        </w:tc>
      </w:tr>
      <w:tr w:rsidR="003D62DD" w:rsidRPr="003D62DD" w:rsidTr="00682559">
        <w:trPr>
          <w:trHeight w:val="315"/>
        </w:trPr>
        <w:tc>
          <w:tcPr>
            <w:tcW w:w="8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სულ</w:t>
            </w:r>
            <w:r w:rsidRPr="003D62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მთავრობის</w:t>
            </w:r>
            <w:r w:rsidRPr="003D62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ვალის</w:t>
            </w:r>
            <w:r w:rsidRPr="003D62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ზღვრული</w:t>
            </w:r>
            <w:r w:rsidRPr="003D62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D62D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მოცულობა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62DD" w:rsidRPr="003D62DD" w:rsidRDefault="003D62DD" w:rsidP="003D6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D62DD">
              <w:rPr>
                <w:rFonts w:ascii="Calibri" w:eastAsia="Times New Roman" w:hAnsi="Calibri" w:cs="Calibri"/>
                <w:b/>
                <w:bCs/>
              </w:rPr>
              <w:t>27,340,846</w:t>
            </w:r>
          </w:p>
        </w:tc>
      </w:tr>
    </w:tbl>
    <w:p w:rsidR="0053506B" w:rsidRPr="003430DD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p w:rsidR="000340AB" w:rsidRPr="00AD6A17" w:rsidRDefault="00FE1A0F" w:rsidP="003D62DD">
      <w:pPr>
        <w:spacing w:after="0"/>
        <w:ind w:left="1530" w:right="427" w:hanging="810"/>
        <w:jc w:val="both"/>
        <w:rPr>
          <w:rFonts w:ascii="Sylfaen" w:hAnsi="Sylfaen" w:cs="Sylfaen"/>
          <w:i/>
          <w:sz w:val="16"/>
          <w:szCs w:val="16"/>
        </w:rPr>
      </w:pPr>
      <w:r w:rsidRPr="00EE1DA7">
        <w:rPr>
          <w:rFonts w:ascii="Sylfaen" w:hAnsi="Sylfaen"/>
          <w:b/>
          <w:i/>
          <w:color w:val="595959" w:themeColor="text1" w:themeTint="A6"/>
          <w:sz w:val="18"/>
          <w:szCs w:val="18"/>
          <w:lang w:val="ka-GE"/>
        </w:rPr>
        <w:t>შენიშვნა:</w:t>
      </w:r>
      <w:r w:rsidRPr="00EE1DA7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ვალის ზღვრული მოცულობის გამოთვლისას გამოყენებულია </w:t>
      </w:r>
      <w:r w:rsidR="00EE1DA7" w:rsidRPr="00EE1DA7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2020</w:t>
      </w:r>
      <w:r w:rsidRPr="00EE1DA7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წლის </w:t>
      </w:r>
      <w:r w:rsidR="008C75F5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5</w:t>
      </w:r>
      <w:r w:rsidR="00EE1DA7" w:rsidRPr="00EE1DA7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EE1DA7" w:rsidRPr="00EE1DA7">
        <w:rPr>
          <w:rFonts w:ascii="Sylfaen" w:hAnsi="Sylfaen"/>
          <w:i/>
          <w:color w:val="595959" w:themeColor="text1" w:themeTint="A6"/>
          <w:sz w:val="18"/>
          <w:szCs w:val="18"/>
          <w:lang w:val="ru-RU"/>
        </w:rPr>
        <w:t>ივნისს</w:t>
      </w:r>
      <w:r w:rsidRPr="00EE1DA7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მოქმედი გაცვლითი კურსები</w:t>
      </w:r>
      <w:r w:rsidR="00F1522E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.</w:t>
      </w:r>
      <w:r w:rsidR="00F1522E">
        <w:rPr>
          <w:rFonts w:ascii="Sylfaen" w:hAnsi="Sylfaen"/>
          <w:i/>
          <w:color w:val="595959" w:themeColor="text1" w:themeTint="A6"/>
          <w:sz w:val="18"/>
          <w:szCs w:val="18"/>
        </w:rPr>
        <w:t xml:space="preserve">: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>1 EUR = 3.</w:t>
      </w:r>
      <w:r w:rsidR="00816EE6">
        <w:rPr>
          <w:rFonts w:ascii="Sylfaen" w:hAnsi="Sylfaen"/>
          <w:color w:val="595959" w:themeColor="text1" w:themeTint="A6"/>
          <w:sz w:val="18"/>
          <w:szCs w:val="18"/>
          <w:lang w:val="ka-GE"/>
        </w:rPr>
        <w:t>3422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 xml:space="preserve"> GEL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 xml:space="preserve">1 SDR = </w:t>
      </w:r>
      <w:r w:rsidR="00816EE6">
        <w:rPr>
          <w:rFonts w:ascii="Sylfaen" w:hAnsi="Sylfaen"/>
          <w:color w:val="595959" w:themeColor="text1" w:themeTint="A6"/>
          <w:sz w:val="18"/>
          <w:szCs w:val="18"/>
          <w:lang w:val="ka-GE"/>
        </w:rPr>
        <w:t>4,1047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 xml:space="preserve"> GEL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>10 CNY = 4.</w:t>
      </w:r>
      <w:r w:rsidR="00816EE6">
        <w:rPr>
          <w:rFonts w:ascii="Sylfaen" w:hAnsi="Sylfaen"/>
          <w:color w:val="595959" w:themeColor="text1" w:themeTint="A6"/>
          <w:sz w:val="18"/>
          <w:szCs w:val="18"/>
          <w:lang w:val="ka-GE"/>
        </w:rPr>
        <w:t>191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>GEL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>100 JPY = 2.</w:t>
      </w:r>
      <w:r w:rsidR="00816EE6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74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>GEL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816EE6">
        <w:rPr>
          <w:rFonts w:ascii="Sylfaen" w:hAnsi="Sylfaen"/>
          <w:color w:val="595959" w:themeColor="text1" w:themeTint="A6"/>
          <w:sz w:val="18"/>
          <w:szCs w:val="18"/>
        </w:rPr>
        <w:t>1 KWD = 9.</w:t>
      </w:r>
      <w:r w:rsidR="00816EE6">
        <w:rPr>
          <w:rFonts w:ascii="Sylfaen" w:hAnsi="Sylfaen"/>
          <w:color w:val="595959" w:themeColor="text1" w:themeTint="A6"/>
          <w:sz w:val="18"/>
          <w:szCs w:val="18"/>
          <w:lang w:val="ka-GE"/>
        </w:rPr>
        <w:t>6823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 xml:space="preserve"> GEL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>1 USD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 = </w:t>
      </w:r>
      <w:r w:rsidR="00816EE6">
        <w:rPr>
          <w:rFonts w:ascii="Sylfaen" w:hAnsi="Sylfaen"/>
          <w:color w:val="595959" w:themeColor="text1" w:themeTint="A6"/>
          <w:sz w:val="18"/>
          <w:szCs w:val="18"/>
          <w:lang w:val="ka-GE"/>
        </w:rPr>
        <w:t>2,9841</w:t>
      </w:r>
      <w:r w:rsidR="00F1522E" w:rsidRPr="00F1522E">
        <w:rPr>
          <w:rFonts w:ascii="Sylfaen" w:hAnsi="Sylfaen"/>
          <w:color w:val="595959" w:themeColor="text1" w:themeTint="A6"/>
          <w:sz w:val="18"/>
          <w:szCs w:val="18"/>
        </w:rPr>
        <w:t xml:space="preserve"> GEL</w:t>
      </w:r>
      <w:r w:rsidR="00F1522E">
        <w:rPr>
          <w:rFonts w:ascii="Sylfaen" w:hAnsi="Sylfaen" w:cs="Sylfaen"/>
          <w:i/>
          <w:sz w:val="16"/>
          <w:szCs w:val="16"/>
        </w:rPr>
        <w:tab/>
      </w:r>
    </w:p>
    <w:sectPr w:rsidR="000340AB" w:rsidRPr="00AD6A17" w:rsidSect="0087661E">
      <w:pgSz w:w="11907" w:h="16839" w:code="9"/>
      <w:pgMar w:top="426" w:right="837" w:bottom="709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96" w:rsidRDefault="00435096" w:rsidP="00400BED">
      <w:pPr>
        <w:spacing w:after="0" w:line="240" w:lineRule="auto"/>
      </w:pPr>
      <w:r>
        <w:separator/>
      </w:r>
    </w:p>
  </w:endnote>
  <w:endnote w:type="continuationSeparator" w:id="0">
    <w:p w:rsidR="00435096" w:rsidRDefault="00435096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96" w:rsidRDefault="00435096" w:rsidP="00400BED">
      <w:pPr>
        <w:spacing w:after="0" w:line="240" w:lineRule="auto"/>
      </w:pPr>
      <w:r>
        <w:separator/>
      </w:r>
    </w:p>
  </w:footnote>
  <w:footnote w:type="continuationSeparator" w:id="0">
    <w:p w:rsidR="00435096" w:rsidRDefault="00435096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50D5"/>
    <w:rsid w:val="00485FD9"/>
    <w:rsid w:val="00490B44"/>
    <w:rsid w:val="00493136"/>
    <w:rsid w:val="00496409"/>
    <w:rsid w:val="00497DE1"/>
    <w:rsid w:val="004A3196"/>
    <w:rsid w:val="004A3DB0"/>
    <w:rsid w:val="004B1263"/>
    <w:rsid w:val="004B29BC"/>
    <w:rsid w:val="004B46E8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7CC8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0F1A"/>
    <w:rsid w:val="00812C36"/>
    <w:rsid w:val="008153BB"/>
    <w:rsid w:val="00816EE6"/>
    <w:rsid w:val="00817C42"/>
    <w:rsid w:val="0082056D"/>
    <w:rsid w:val="00826C90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293F"/>
    <w:rsid w:val="00A56E3B"/>
    <w:rsid w:val="00A57273"/>
    <w:rsid w:val="00A6278E"/>
    <w:rsid w:val="00A63967"/>
    <w:rsid w:val="00A65964"/>
    <w:rsid w:val="00A67E3A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4534"/>
    <w:rsid w:val="00AB5A99"/>
    <w:rsid w:val="00AC1154"/>
    <w:rsid w:val="00AC1CC1"/>
    <w:rsid w:val="00AC21C9"/>
    <w:rsid w:val="00AC2209"/>
    <w:rsid w:val="00AD0BC4"/>
    <w:rsid w:val="00AD2AF0"/>
    <w:rsid w:val="00AD2D43"/>
    <w:rsid w:val="00AD59D0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404A9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2C5D"/>
    <w:rsid w:val="00BB4019"/>
    <w:rsid w:val="00BC132A"/>
    <w:rsid w:val="00BC168E"/>
    <w:rsid w:val="00BC505C"/>
    <w:rsid w:val="00BC5E24"/>
    <w:rsid w:val="00BC701E"/>
    <w:rsid w:val="00BC764D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166"/>
    <w:rsid w:val="00C3279B"/>
    <w:rsid w:val="00C34061"/>
    <w:rsid w:val="00C367E2"/>
    <w:rsid w:val="00C36A3D"/>
    <w:rsid w:val="00C37E2F"/>
    <w:rsid w:val="00C40259"/>
    <w:rsid w:val="00C42DBB"/>
    <w:rsid w:val="00C44420"/>
    <w:rsid w:val="00C4579F"/>
    <w:rsid w:val="00C52BA0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5D9"/>
    <w:rsid w:val="00DB1C54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FE68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21%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700">
                        <a:solidFill>
                          <a:sysClr val="windowText" lastClr="000000"/>
                        </a:solidFill>
                      </a:rPr>
                      <a:t>მრავალმხრივი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57%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634460501089611"/>
                  <c:y val="7.1060835705395925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6AE-49A6-8508-0BFA87B0A32B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6AE-49A6-8508-0BFA87B0A32B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6AE-49A6-8508-0BFA87B0A32B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AE-49A6-8508-0BFA87B0A32B}"/>
                </c:ext>
              </c:extLst>
            </c:dLbl>
            <c:dLbl>
              <c:idx val="1"/>
              <c:layout>
                <c:manualLayout>
                  <c:x val="0.16024740116751965"/>
                  <c:y val="-0.22526537372429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AE-49A6-8508-0BFA87B0A32B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AE-49A6-8508-0BFA87B0A32B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AE-49A6-8508-0BFA87B0A32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მარტი'!$K$42:$K$45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'GVT მარტი'!$M$42:$M$45</c:f>
              <c:numCache>
                <c:formatCode>0%</c:formatCode>
                <c:ptCount val="4"/>
                <c:pt idx="0">
                  <c:v>0.32119792143541936</c:v>
                </c:pt>
                <c:pt idx="1">
                  <c:v>0.29749799831273099</c:v>
                </c:pt>
                <c:pt idx="2">
                  <c:v>0.34032532103595281</c:v>
                </c:pt>
                <c:pt idx="3">
                  <c:v>4.0978759215896797E-2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6AE-49A6-8508-0BFA87B0A32B}"/>
            </c:ext>
          </c:extLst>
        </c:ser>
        <c:ser>
          <c:idx val="1"/>
          <c:order val="1"/>
          <c:explosion val="25"/>
          <c:cat>
            <c:strRef>
              <c:f>'GVT მარტი'!$K$42:$K$45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'GVT მარტი'!$M$44:$M$47</c:f>
              <c:numCache>
                <c:formatCode>0%</c:formatCode>
                <c:ptCount val="4"/>
                <c:pt idx="0">
                  <c:v>0.34032532103595281</c:v>
                </c:pt>
                <c:pt idx="1">
                  <c:v>4.0978759215896797E-2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AE-49A6-8508-0BFA87B0A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8574635241303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1970967054993723"/>
          <c:w val="0.80685640857392826"/>
          <c:h val="0.78953348632118814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B2C-47FA-B88E-7F0A60B04BE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B2C-47FA-B88E-7F0A60B04BE9}"/>
              </c:ext>
            </c:extLst>
          </c:dPt>
          <c:dLbls>
            <c:dLbl>
              <c:idx val="0"/>
              <c:layout>
                <c:manualLayout>
                  <c:x val="-0.21947984383654423"/>
                  <c:y val="-4.70008681494205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8772107646038"/>
                      <c:h val="0.310950731748008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B2C-47FA-B88E-7F0A60B04B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მარტი'!$L$35:$L$36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'GVT მარტი'!$M$35:$M$36</c:f>
              <c:numCache>
                <c:formatCode>_(* #,##0_);_(* \(#,##0\);_(* "-"??_);_(@_)</c:formatCode>
                <c:ptCount val="2"/>
                <c:pt idx="0">
                  <c:v>2939521.740418769</c:v>
                </c:pt>
                <c:pt idx="1">
                  <c:v>2503075.2390000005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2C-47FA-B88E-7F0A60B04B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0.16605</cdr:x>
      <cdr:y>0.00028</cdr:y>
    </cdr:from>
    <cdr:to>
      <cdr:x>0.87658</cdr:x>
      <cdr:y>0.13386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899" y="534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BB04-8805-49EF-93BE-F5B3512B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6</cp:revision>
  <cp:lastPrinted>2019-04-25T08:10:00Z</cp:lastPrinted>
  <dcterms:created xsi:type="dcterms:W3CDTF">2020-06-18T16:47:00Z</dcterms:created>
  <dcterms:modified xsi:type="dcterms:W3CDTF">2020-06-22T06:03:00Z</dcterms:modified>
</cp:coreProperties>
</file>